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4.png" ContentType="image/png"/>
  <Override PartName="/word/media/rId22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Ottimizzazione</w:t>
      </w:r>
      <w:r>
        <w:t xml:space="preserve"> </w:t>
      </w:r>
      <w:r>
        <w:t xml:space="preserve">del</w:t>
      </w:r>
      <w:r>
        <w:t xml:space="preserve"> </w:t>
      </w:r>
      <w:r>
        <w:t xml:space="preserve">metodo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valutazione</w:t>
      </w:r>
      <w:r>
        <w:t xml:space="preserve"> </w:t>
      </w:r>
      <w:r>
        <w:t xml:space="preserve">dell’impatto</w:t>
      </w:r>
      <w:r>
        <w:t xml:space="preserve"> </w:t>
      </w:r>
      <w:r>
        <w:t xml:space="preserve">odorigeno</w:t>
      </w:r>
      <w:r>
        <w:t xml:space="preserve"> </w:t>
      </w:r>
      <w:r>
        <w:t xml:space="preserve">tramite</w:t>
      </w:r>
      <w:r>
        <w:t xml:space="preserve"> </w:t>
      </w:r>
      <w:r>
        <w:t xml:space="preserve">ispezioni</w:t>
      </w:r>
      <w:r>
        <w:t xml:space="preserve"> </w:t>
      </w:r>
      <w:r>
        <w:t xml:space="preserve">di</w:t>
      </w:r>
      <w:r>
        <w:t xml:space="preserve"> </w:t>
      </w:r>
      <w:r>
        <w:t xml:space="preserve">campo            </w:t>
      </w:r>
    </w:p>
    <w:p>
      <w:pPr>
        <w:pStyle w:val="Author"/>
      </w:pPr>
      <w:r>
        <w:t xml:space="preserve">Vincenzo</w:t>
      </w:r>
      <w:r>
        <w:t xml:space="preserve"> </w:t>
      </w:r>
      <w:r>
        <w:t xml:space="preserve">Ricciardi</w:t>
      </w:r>
    </w:p>
    <w:p>
      <w:pPr>
        <w:pStyle w:val="Abstract"/>
      </w:pPr>
      <w:r>
        <w:t xml:space="preserve">L’esposizione</w:t>
      </w:r>
      <w:r>
        <w:t xml:space="preserve"> </w:t>
      </w:r>
      <w:r>
        <w:t xml:space="preserve">prolungata</w:t>
      </w:r>
      <w:r>
        <w:t xml:space="preserve"> </w:t>
      </w:r>
      <w:r>
        <w:t xml:space="preserve">ad</w:t>
      </w:r>
      <w:r>
        <w:t xml:space="preserve"> </w:t>
      </w:r>
      <w:r>
        <w:t xml:space="preserve">emissioni</w:t>
      </w:r>
      <w:r>
        <w:t xml:space="preserve"> </w:t>
      </w:r>
      <w:r>
        <w:t xml:space="preserve">odorigene,</w:t>
      </w:r>
      <w:r>
        <w:t xml:space="preserve"> </w:t>
      </w:r>
      <w:r>
        <w:t xml:space="preserve">provenienti</w:t>
      </w:r>
      <w:r>
        <w:t xml:space="preserve"> </w:t>
      </w:r>
      <w:r>
        <w:t xml:space="preserve">da</w:t>
      </w:r>
      <w:r>
        <w:t xml:space="preserve"> </w:t>
      </w:r>
      <w:r>
        <w:t xml:space="preserve">impianti</w:t>
      </w:r>
      <w:r>
        <w:t xml:space="preserve"> </w:t>
      </w:r>
      <w:r>
        <w:t xml:space="preserve">di</w:t>
      </w:r>
      <w:r>
        <w:t xml:space="preserve"> </w:t>
      </w:r>
      <w:r>
        <w:t xml:space="preserve">ingegneria</w:t>
      </w:r>
      <w:r>
        <w:t xml:space="preserve"> </w:t>
      </w:r>
      <w:r>
        <w:t xml:space="preserve">sanitaria</w:t>
      </w:r>
      <w:r>
        <w:t xml:space="preserve"> </w:t>
      </w:r>
      <w:r>
        <w:t xml:space="preserve">ambientale,</w:t>
      </w:r>
      <w:r>
        <w:t xml:space="preserve"> </w:t>
      </w:r>
      <w:r>
        <w:t xml:space="preserve">genera</w:t>
      </w:r>
      <w:r>
        <w:t xml:space="preserve"> </w:t>
      </w:r>
      <w:r>
        <w:t xml:space="preserve">disagi,</w:t>
      </w:r>
      <w:r>
        <w:t xml:space="preserve"> </w:t>
      </w:r>
      <w:r>
        <w:t xml:space="preserve">come</w:t>
      </w:r>
      <w:r>
        <w:t xml:space="preserve"> </w:t>
      </w:r>
      <w:r>
        <w:t xml:space="preserve">stress</w:t>
      </w:r>
      <w:r>
        <w:t xml:space="preserve"> </w:t>
      </w:r>
      <w:r>
        <w:t xml:space="preserve">emotivi</w:t>
      </w:r>
      <w:r>
        <w:t xml:space="preserve"> </w:t>
      </w:r>
      <w:r>
        <w:t xml:space="preserve">o</w:t>
      </w:r>
      <w:r>
        <w:t xml:space="preserve"> </w:t>
      </w:r>
      <w:r>
        <w:t xml:space="preserve">veri</w:t>
      </w:r>
      <w:r>
        <w:t xml:space="preserve"> </w:t>
      </w:r>
      <w:r>
        <w:t xml:space="preserve">e</w:t>
      </w:r>
      <w:r>
        <w:t xml:space="preserve"> </w:t>
      </w:r>
      <w:r>
        <w:t xml:space="preserve">propri</w:t>
      </w:r>
      <w:r>
        <w:t xml:space="preserve"> </w:t>
      </w:r>
      <w:r>
        <w:t xml:space="preserve">malesseri</w:t>
      </w:r>
      <w:r>
        <w:t xml:space="preserve"> </w:t>
      </w:r>
      <w:r>
        <w:t xml:space="preserve">fisici</w:t>
      </w:r>
      <w:r>
        <w:t xml:space="preserve"> </w:t>
      </w:r>
      <w:r>
        <w:t xml:space="preserve">alle</w:t>
      </w:r>
      <w:r>
        <w:t xml:space="preserve"> </w:t>
      </w:r>
      <w:r>
        <w:t xml:space="preserve">persone</w:t>
      </w:r>
      <w:r>
        <w:t xml:space="preserve"> </w:t>
      </w:r>
      <w:r>
        <w:t xml:space="preserve">residenti</w:t>
      </w:r>
      <w:r>
        <w:t xml:space="preserve"> </w:t>
      </w:r>
      <w:r>
        <w:t xml:space="preserve">nei</w:t>
      </w:r>
      <w:r>
        <w:t xml:space="preserve"> </w:t>
      </w:r>
      <w:r>
        <w:t xml:space="preserve">dintorni</w:t>
      </w:r>
      <w:r>
        <w:t xml:space="preserve"> </w:t>
      </w:r>
      <w:r>
        <w:t xml:space="preserve">degli</w:t>
      </w:r>
      <w:r>
        <w:t xml:space="preserve"> </w:t>
      </w:r>
      <w:r>
        <w:t xml:space="preserve">stessi.</w:t>
      </w:r>
      <w:r>
        <w:t xml:space="preserve"> </w:t>
      </w:r>
      <w:r>
        <w:t xml:space="preserve">In</w:t>
      </w:r>
      <w:r>
        <w:t xml:space="preserve"> </w:t>
      </w:r>
      <w:r>
        <w:t xml:space="preserve">questi</w:t>
      </w:r>
      <w:r>
        <w:t xml:space="preserve"> </w:t>
      </w:r>
      <w:r>
        <w:t xml:space="preserve">casi</w:t>
      </w:r>
      <w:r>
        <w:t xml:space="preserve"> </w:t>
      </w:r>
      <w:r>
        <w:t xml:space="preserve">risulta</w:t>
      </w:r>
      <w:r>
        <w:t xml:space="preserve"> </w:t>
      </w:r>
      <w:r>
        <w:t xml:space="preserve">necessaria</w:t>
      </w:r>
      <w:r>
        <w:t xml:space="preserve"> </w:t>
      </w:r>
      <w:r>
        <w:t xml:space="preserve">un’attenta</w:t>
      </w:r>
      <w:r>
        <w:t xml:space="preserve"> </w:t>
      </w:r>
      <w:r>
        <w:t xml:space="preserve">valutazione</w:t>
      </w:r>
      <w:r>
        <w:t xml:space="preserve"> </w:t>
      </w:r>
      <w:r>
        <w:t xml:space="preserve">degli</w:t>
      </w:r>
      <w:r>
        <w:t xml:space="preserve"> </w:t>
      </w:r>
      <w:r>
        <w:t xml:space="preserve">impatti</w:t>
      </w:r>
      <w:r>
        <w:t xml:space="preserve"> </w:t>
      </w:r>
      <w:r>
        <w:t xml:space="preserve">odorigeni.</w:t>
      </w:r>
      <w:r>
        <w:t xml:space="preserve"> </w:t>
      </w:r>
      <w:r>
        <w:t xml:space="preserve">Tale</w:t>
      </w:r>
      <w:r>
        <w:t xml:space="preserve"> </w:t>
      </w:r>
      <w:r>
        <w:t xml:space="preserve">valutazione</w:t>
      </w:r>
      <w:r>
        <w:t xml:space="preserve"> </w:t>
      </w:r>
      <w:r>
        <w:t xml:space="preserve">può</w:t>
      </w:r>
      <w:r>
        <w:t xml:space="preserve"> </w:t>
      </w:r>
      <w:r>
        <w:t xml:space="preserve">essere</w:t>
      </w:r>
      <w:r>
        <w:t xml:space="preserve"> </w:t>
      </w:r>
      <w:r>
        <w:t xml:space="preserve">effettuata</w:t>
      </w:r>
      <w:r>
        <w:t xml:space="preserve"> </w:t>
      </w:r>
      <w:r>
        <w:t xml:space="preserve">secondo</w:t>
      </w:r>
      <w:r>
        <w:t xml:space="preserve"> </w:t>
      </w:r>
      <w:r>
        <w:t xml:space="preserve">due</w:t>
      </w:r>
      <w:r>
        <w:t xml:space="preserve"> </w:t>
      </w:r>
      <w:r>
        <w:t xml:space="preserve">approcci:</w:t>
      </w:r>
      <w:r>
        <w:t xml:space="preserve"> </w:t>
      </w:r>
      <w:r>
        <w:t xml:space="preserve">la</w:t>
      </w:r>
      <w:r>
        <w:t xml:space="preserve"> </w:t>
      </w:r>
      <w:r>
        <w:t xml:space="preserve">misurazione</w:t>
      </w:r>
      <w:r>
        <w:t xml:space="preserve"> </w:t>
      </w:r>
      <w:r>
        <w:t xml:space="preserve">delle</w:t>
      </w:r>
      <w:r>
        <w:t xml:space="preserve"> </w:t>
      </w:r>
      <w:r>
        <w:t xml:space="preserve">fonti</w:t>
      </w:r>
      <w:r>
        <w:t xml:space="preserve"> </w:t>
      </w:r>
      <w:r>
        <w:t xml:space="preserve">di</w:t>
      </w:r>
      <w:r>
        <w:t xml:space="preserve"> </w:t>
      </w:r>
      <w:r>
        <w:t xml:space="preserve">emissione</w:t>
      </w:r>
      <w:r>
        <w:t xml:space="preserve"> </w:t>
      </w:r>
      <w:r>
        <w:t xml:space="preserve">e/o</w:t>
      </w:r>
      <w:r>
        <w:t xml:space="preserve"> </w:t>
      </w:r>
      <w:r>
        <w:t xml:space="preserve">la</w:t>
      </w:r>
      <w:r>
        <w:t xml:space="preserve"> </w:t>
      </w:r>
      <w:r>
        <w:t xml:space="preserve">stima</w:t>
      </w:r>
      <w:r>
        <w:t xml:space="preserve"> </w:t>
      </w:r>
      <w:r>
        <w:t xml:space="preserve">delle</w:t>
      </w:r>
      <w:r>
        <w:t xml:space="preserve"> </w:t>
      </w:r>
      <w:r>
        <w:t xml:space="preserve">zone</w:t>
      </w:r>
      <w:r>
        <w:t xml:space="preserve"> </w:t>
      </w:r>
      <w:r>
        <w:t xml:space="preserve">di</w:t>
      </w:r>
      <w:r>
        <w:t xml:space="preserve"> </w:t>
      </w:r>
      <w:r>
        <w:t xml:space="preserve">impatto.</w:t>
      </w:r>
      <w:r>
        <w:t xml:space="preserve"> </w:t>
      </w:r>
      <w:r>
        <w:t xml:space="preserve">Le</w:t>
      </w:r>
      <w:r>
        <w:t xml:space="preserve"> </w:t>
      </w:r>
      <w:r>
        <w:t xml:space="preserve">linee</w:t>
      </w:r>
      <w:r>
        <w:t xml:space="preserve"> </w:t>
      </w:r>
      <w:r>
        <w:t xml:space="preserve">guida</w:t>
      </w:r>
      <w:r>
        <w:t xml:space="preserve"> </w:t>
      </w:r>
      <w:r>
        <w:t xml:space="preserve">tedesche</w:t>
      </w:r>
      <w:r>
        <w:t xml:space="preserve"> </w:t>
      </w:r>
      <w:r>
        <w:t xml:space="preserve">presenti</w:t>
      </w:r>
      <w:r>
        <w:t xml:space="preserve"> </w:t>
      </w:r>
      <w:r>
        <w:t xml:space="preserve">nella</w:t>
      </w:r>
      <w:r>
        <w:t xml:space="preserve"> </w:t>
      </w:r>
      <w:r>
        <w:t xml:space="preserve">norma</w:t>
      </w:r>
      <w:r>
        <w:t xml:space="preserve"> </w:t>
      </w:r>
      <w:r>
        <w:t xml:space="preserve">VDI3940</w:t>
      </w:r>
      <w:r>
        <w:t xml:space="preserve"> </w:t>
      </w:r>
      <w:r>
        <w:t xml:space="preserve">propongono</w:t>
      </w:r>
      <w:r>
        <w:t xml:space="preserve"> </w:t>
      </w:r>
      <w:r>
        <w:t xml:space="preserve">la</w:t>
      </w:r>
      <w:r>
        <w:t xml:space="preserve"> </w:t>
      </w:r>
      <w:r>
        <w:t xml:space="preserve">standardizzazione</w:t>
      </w:r>
      <w:r>
        <w:t xml:space="preserve"> </w:t>
      </w:r>
      <w:r>
        <w:t xml:space="preserve">del</w:t>
      </w:r>
      <w:r>
        <w:t xml:space="preserve"> </w:t>
      </w:r>
      <w:r>
        <w:t xml:space="preserve">metodo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valutazione</w:t>
      </w:r>
      <w:r>
        <w:t xml:space="preserve"> </w:t>
      </w:r>
      <w:r>
        <w:t xml:space="preserve">dell’impatto</w:t>
      </w:r>
      <w:r>
        <w:t xml:space="preserve"> </w:t>
      </w:r>
      <w:r>
        <w:t xml:space="preserve">odorigeno</w:t>
      </w:r>
      <w:r>
        <w:t xml:space="preserve"> </w:t>
      </w:r>
      <w:r>
        <w:t xml:space="preserve">tramite</w:t>
      </w:r>
      <w:r>
        <w:t xml:space="preserve"> </w:t>
      </w:r>
      <w:r>
        <w:t xml:space="preserve">ispezioni</w:t>
      </w:r>
      <w:r>
        <w:t xml:space="preserve"> </w:t>
      </w:r>
      <w:r>
        <w:t xml:space="preserve">di</w:t>
      </w:r>
      <w:r>
        <w:t xml:space="preserve"> </w:t>
      </w:r>
      <w:r>
        <w:t xml:space="preserve">campo.</w:t>
      </w:r>
      <w:r>
        <w:t xml:space="preserve"> </w:t>
      </w:r>
      <w:r>
        <w:t xml:space="preserve">Lo</w:t>
      </w:r>
      <w:r>
        <w:t xml:space="preserve"> </w:t>
      </w:r>
      <w:r>
        <w:t xml:space="preserve">studio</w:t>
      </w:r>
      <w:r>
        <w:t xml:space="preserve"> </w:t>
      </w:r>
      <w:r>
        <w:t xml:space="preserve">analizzato vuole</w:t>
      </w:r>
      <w:r>
        <w:t xml:space="preserve"> </w:t>
      </w:r>
      <w:r>
        <w:t xml:space="preserve">analizzare</w:t>
      </w:r>
      <w:r>
        <w:t xml:space="preserve"> </w:t>
      </w:r>
      <w:r>
        <w:t xml:space="preserve">la</w:t>
      </w:r>
      <w:r>
        <w:t xml:space="preserve"> </w:t>
      </w:r>
      <w:r>
        <w:t xml:space="preserve">procedura</w:t>
      </w:r>
      <w:r>
        <w:t xml:space="preserve"> </w:t>
      </w:r>
      <w:r>
        <w:t xml:space="preserve">della</w:t>
      </w:r>
      <w:r>
        <w:t xml:space="preserve"> </w:t>
      </w:r>
      <w:r>
        <w:t xml:space="preserve">norma</w:t>
      </w:r>
      <w:r>
        <w:t xml:space="preserve"> </w:t>
      </w:r>
      <w:r>
        <w:t xml:space="preserve">VDI3940,</w:t>
      </w:r>
      <w:r>
        <w:t xml:space="preserve"> </w:t>
      </w:r>
      <w:r>
        <w:t xml:space="preserve">attraverso</w:t>
      </w:r>
      <w:r>
        <w:t xml:space="preserve"> </w:t>
      </w:r>
      <w:r>
        <w:t xml:space="preserve">la</w:t>
      </w:r>
      <w:r>
        <w:t xml:space="preserve"> </w:t>
      </w:r>
      <w:r>
        <w:t xml:space="preserve">discussione</w:t>
      </w:r>
      <w:r>
        <w:t xml:space="preserve"> </w:t>
      </w:r>
      <w:r>
        <w:t xml:space="preserve">di</w:t>
      </w:r>
      <w:r>
        <w:t xml:space="preserve"> </w:t>
      </w:r>
      <w:r>
        <w:t xml:space="preserve">un</w:t>
      </w:r>
      <w:r>
        <w:t xml:space="preserve"> </w:t>
      </w:r>
      <w:r>
        <w:t xml:space="preserve">caso</w:t>
      </w:r>
      <w:r>
        <w:t xml:space="preserve"> </w:t>
      </w:r>
      <w:r>
        <w:t xml:space="preserve">studio,</w:t>
      </w:r>
      <w:r>
        <w:t xml:space="preserve"> </w:t>
      </w:r>
      <w:r>
        <w:t xml:space="preserve">con</w:t>
      </w:r>
      <w:r>
        <w:t xml:space="preserve"> </w:t>
      </w:r>
      <w:r>
        <w:t xml:space="preserve">l’obiettivo</w:t>
      </w:r>
      <w:r>
        <w:t xml:space="preserve"> </w:t>
      </w:r>
      <w:r>
        <w:t xml:space="preserve">di</w:t>
      </w:r>
      <w:r>
        <w:t xml:space="preserve"> </w:t>
      </w:r>
      <w:r>
        <w:t xml:space="preserve">ridurre</w:t>
      </w:r>
      <w:r>
        <w:t xml:space="preserve"> </w:t>
      </w:r>
      <w:r>
        <w:t xml:space="preserve">le</w:t>
      </w:r>
      <w:r>
        <w:t xml:space="preserve"> </w:t>
      </w:r>
      <w:r>
        <w:t xml:space="preserve">criticità</w:t>
      </w:r>
      <w:r>
        <w:t xml:space="preserve"> </w:t>
      </w:r>
      <w:r>
        <w:t xml:space="preserve">ad</w:t>
      </w:r>
      <w:r>
        <w:t xml:space="preserve"> </w:t>
      </w:r>
      <w:r>
        <w:t xml:space="preserve">essa</w:t>
      </w:r>
      <w:r>
        <w:t xml:space="preserve"> </w:t>
      </w:r>
      <w:r>
        <w:t xml:space="preserve">associate,</w:t>
      </w:r>
      <w:r>
        <w:t xml:space="preserve"> </w:t>
      </w:r>
      <w:r>
        <w:t xml:space="preserve">come</w:t>
      </w:r>
      <w:r>
        <w:t xml:space="preserve"> </w:t>
      </w:r>
      <w:r>
        <w:t xml:space="preserve">l’elevato</w:t>
      </w:r>
      <w:r>
        <w:t xml:space="preserve"> </w:t>
      </w:r>
      <w:r>
        <w:t xml:space="preserve">costo</w:t>
      </w:r>
      <w:r>
        <w:t xml:space="preserve"> </w:t>
      </w:r>
      <w:r>
        <w:t xml:space="preserve">e</w:t>
      </w:r>
      <w:r>
        <w:t xml:space="preserve"> </w:t>
      </w:r>
      <w:r>
        <w:t xml:space="preserve">i</w:t>
      </w:r>
      <w:r>
        <w:t xml:space="preserve"> </w:t>
      </w:r>
      <w:r>
        <w:t xml:space="preserve">lunghi</w:t>
      </w:r>
      <w:r>
        <w:t xml:space="preserve"> </w:t>
      </w:r>
      <w:r>
        <w:t xml:space="preserve">tempi</w:t>
      </w:r>
      <w:r>
        <w:t xml:space="preserve"> </w:t>
      </w:r>
      <w:r>
        <w:t xml:space="preserve">di</w:t>
      </w:r>
      <w:r>
        <w:t xml:space="preserve"> </w:t>
      </w:r>
      <w:r>
        <w:t xml:space="preserve">applicazione.</w:t>
      </w:r>
      <w:r>
        <w:t xml:space="preserve"> </w:t>
      </w:r>
      <w:r>
        <w:t xml:space="preserve">I</w:t>
      </w:r>
      <w:r>
        <w:t xml:space="preserve"> </w:t>
      </w:r>
      <w:r>
        <w:t xml:space="preserve">risultati</w:t>
      </w:r>
      <w:r>
        <w:t xml:space="preserve"> </w:t>
      </w:r>
      <w:r>
        <w:t xml:space="preserve">mostrano</w:t>
      </w:r>
      <w:r>
        <w:t xml:space="preserve"> </w:t>
      </w:r>
      <w:r>
        <w:t xml:space="preserve">che</w:t>
      </w:r>
      <w:r>
        <w:t xml:space="preserve"> </w:t>
      </w:r>
      <w:r>
        <w:t xml:space="preserve">in</w:t>
      </w:r>
      <w:r>
        <w:t xml:space="preserve"> </w:t>
      </w:r>
      <w:r>
        <w:t xml:space="preserve">particolari</w:t>
      </w:r>
      <w:r>
        <w:t xml:space="preserve"> </w:t>
      </w:r>
      <w:r>
        <w:t xml:space="preserve">condizioni</w:t>
      </w:r>
      <w:r>
        <w:t xml:space="preserve"> </w:t>
      </w:r>
      <w:r>
        <w:t xml:space="preserve">è</w:t>
      </w:r>
      <w:r>
        <w:t xml:space="preserve"> </w:t>
      </w:r>
      <w:r>
        <w:t xml:space="preserve">possibile</w:t>
      </w:r>
      <w:r>
        <w:t xml:space="preserve"> </w:t>
      </w:r>
      <w:r>
        <w:t xml:space="preserve">ridurre</w:t>
      </w:r>
      <w:r>
        <w:t xml:space="preserve"> </w:t>
      </w:r>
      <w:r>
        <w:t xml:space="preserve">la</w:t>
      </w:r>
      <w:r>
        <w:t xml:space="preserve"> </w:t>
      </w:r>
      <w:r>
        <w:t xml:space="preserve">frequenza</w:t>
      </w:r>
      <w:r>
        <w:t xml:space="preserve"> </w:t>
      </w:r>
      <w:r>
        <w:t xml:space="preserve">di</w:t>
      </w:r>
      <w:r>
        <w:t xml:space="preserve"> </w:t>
      </w:r>
      <w:r>
        <w:t xml:space="preserve">campionamento</w:t>
      </w:r>
      <w:r>
        <w:t xml:space="preserve"> </w:t>
      </w:r>
      <w:r>
        <w:t xml:space="preserve">e</w:t>
      </w:r>
      <w:r>
        <w:t xml:space="preserve"> </w:t>
      </w:r>
      <w:r>
        <w:t xml:space="preserve">i</w:t>
      </w:r>
      <w:r>
        <w:t xml:space="preserve"> </w:t>
      </w:r>
      <w:r>
        <w:t xml:space="preserve">gruppi</w:t>
      </w:r>
      <w:r>
        <w:t xml:space="preserve"> </w:t>
      </w:r>
      <w:r>
        <w:t xml:space="preserve">di</w:t>
      </w:r>
      <w:r>
        <w:t xml:space="preserve"> </w:t>
      </w:r>
      <w:r>
        <w:t xml:space="preserve">valutatori.</w:t>
      </w:r>
    </w:p>
    <w:p>
      <w:pPr>
        <w:pStyle w:val="Heading1"/>
      </w:pPr>
      <w:bookmarkStart w:id="21" w:name="il-problema-delle-emissioni-odorigene"/>
      <w:bookmarkEnd w:id="21"/>
      <w:r>
        <w:t xml:space="preserve">Il problema delle emissioni</w:t>
      </w:r>
      <w:r>
        <w:t xml:space="preserve"> </w:t>
      </w:r>
      <w:r>
        <w:t xml:space="preserve">odorigene</w:t>
      </w:r>
    </w:p>
    <w:p>
      <w:pPr>
        <w:pStyle w:val="FirstParagraph"/>
      </w:pPr>
      <w:r>
        <w:t xml:space="preserve">In tutto il mondo sta crescendo la preoccupazione riguardo gli effetti</w:t>
      </w:r>
      <w:r>
        <w:t xml:space="preserve"> </w:t>
      </w:r>
      <w:r>
        <w:t xml:space="preserve">derivanti dalle emissioni odorigene. Queste emissioni causano reazioni</w:t>
      </w:r>
      <w:r>
        <w:t xml:space="preserve"> </w:t>
      </w:r>
      <w:r>
        <w:t xml:space="preserve">indesiderate per persone esposte, e a tal riguardo, non mancano studi</w:t>
      </w:r>
      <w:r>
        <w:t xml:space="preserve"> </w:t>
      </w:r>
      <w:r>
        <w:t xml:space="preserve">che documentano effetti sulla salute umana</w:t>
      </w:r>
      <w:r>
        <w:t xml:space="preserve"> </w:t>
      </w:r>
      <w:r>
        <w:rPr>
          <w:vertAlign w:val="superscript"/>
        </w:rPr>
        <w:t xml:space="preserve">1</w:t>
      </w:r>
      <w:r>
        <w:t xml:space="preserve">. </w:t>
      </w:r>
    </w:p>
    <w:p>
      <w:pPr>
        <w:pStyle w:val="BodyText"/>
      </w:pPr>
      <w:r>
        <w:t xml:space="preserve">Infatti, stress emotivi, come inquietudine, sconforto, mal di testa,</w:t>
      </w:r>
      <w:r>
        <w:t xml:space="preserve"> </w:t>
      </w:r>
      <w:r>
        <w:t xml:space="preserve">depressione o veri e propri malesseri fisici come irritazioni</w:t>
      </w:r>
      <w:r>
        <w:t xml:space="preserve"> </w:t>
      </w:r>
      <w:r>
        <w:t xml:space="preserve">sensoriali, problemi respiratori, nausea o</w:t>
      </w:r>
      <w:r>
        <w:t xml:space="preserve"> </w:t>
      </w:r>
      <w:r>
        <w:t xml:space="preserve">vomito </w:t>
      </w:r>
      <w:r>
        <w:rPr>
          <w:vertAlign w:val="superscript"/>
        </w:rPr>
        <w:t xml:space="preserve">2</w:t>
      </w:r>
      <w:r>
        <w:t xml:space="preserve">, </w:t>
      </w:r>
      <w:r>
        <w:rPr>
          <w:vertAlign w:val="superscript"/>
        </w:rPr>
        <w:t xml:space="preserve">1</w:t>
      </w:r>
      <w:r>
        <w:t xml:space="preserve">,</w:t>
      </w:r>
      <w:r>
        <w:t xml:space="preserve"> </w:t>
      </w:r>
      <w:r>
        <w:rPr>
          <w:vertAlign w:val="superscript"/>
        </w:rPr>
        <w:t xml:space="preserve">3</w:t>
      </w:r>
      <w:r>
        <w:t xml:space="preserve">,</w:t>
      </w:r>
      <w:r>
        <w:t xml:space="preserve"> </w:t>
      </w:r>
      <w:r>
        <w:rPr>
          <w:vertAlign w:val="superscript"/>
        </w:rPr>
        <w:t xml:space="preserve">4</w:t>
      </w:r>
      <w:r>
        <w:t xml:space="preserve"> </w:t>
      </w:r>
      <w:r>
        <w:t xml:space="preserve">sono effetti indesiderati causati da esposizioni</w:t>
      </w:r>
      <w:r>
        <w:t xml:space="preserve"> </w:t>
      </w:r>
      <w:r>
        <w:t xml:space="preserve">prolungate alle emissioni odorigene. </w:t>
      </w:r>
    </w:p>
    <w:p>
      <w:pPr>
        <w:pStyle w:val="FigureWithCaption"/>
      </w:pPr>
      <w:r>
        <w:drawing>
          <wp:inline>
            <wp:extent cx="4177492" cy="2786014"/>
            <wp:effectExtent b="0" l="0" r="0" t="0"/>
            <wp:docPr descr="Impianto di depurazione " title="" id="1" name="Picture"/>
            <a:graphic>
              <a:graphicData uri="http://schemas.openxmlformats.org/drawingml/2006/picture">
                <pic:pic>
                  <pic:nvPicPr>
                    <pic:cNvPr descr="figures/sewage-plant-4337156-1920/sewage-plant-4337156-19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27860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Impianto di depurazione</w:t>
      </w:r>
      <w:r>
        <w:t xml:space="preserve"> </w:t>
      </w:r>
    </w:p>
    <w:p>
      <w:pPr>
        <w:pStyle w:val="BodyText"/>
      </w:pPr>
      <w:r>
        <w:t xml:space="preserve">Tuttavia, la complessità legata alla loro misurazione e valutazione ha</w:t>
      </w:r>
      <w:r>
        <w:t xml:space="preserve"> </w:t>
      </w:r>
      <w:r>
        <w:t xml:space="preserve">ritardato la loro regolamentazione</w:t>
      </w:r>
      <w:r>
        <w:t xml:space="preserve"> </w:t>
      </w:r>
      <w:r>
        <w:rPr>
          <w:vertAlign w:val="superscript"/>
        </w:rPr>
        <w:t xml:space="preserve">4</w:t>
      </w:r>
      <w:r>
        <w:t xml:space="preserve">,</w:t>
      </w:r>
      <w:r>
        <w:t xml:space="preserve"> </w:t>
      </w:r>
      <w:r>
        <w:rPr>
          <w:vertAlign w:val="superscript"/>
        </w:rPr>
        <w:t xml:space="preserve">5</w:t>
      </w:r>
      <w:r>
        <w:t xml:space="preserve">. </w:t>
      </w:r>
    </w:p>
    <w:p>
      <w:pPr>
        <w:pStyle w:val="BodyText"/>
      </w:pPr>
      <w:r>
        <w:t xml:space="preserve">In Italia, con l’emanazione del D.Lgs. 183/2017 attuativo della</w:t>
      </w:r>
      <w:r>
        <w:t xml:space="preserve"> </w:t>
      </w:r>
      <w:r>
        <w:t xml:space="preserve">direttiva 2015/2193 sulle emissioni da impianti di combustione, è stato</w:t>
      </w:r>
      <w:r>
        <w:t xml:space="preserve"> </w:t>
      </w:r>
      <w:r>
        <w:t xml:space="preserve">introdotto l’art. 272-bis nel D.Lgs. 152/2006, primo riferimento</w:t>
      </w:r>
      <w:r>
        <w:t xml:space="preserve"> </w:t>
      </w:r>
      <w:r>
        <w:t xml:space="preserve">normativo sulle emissioni odorigene. A livello internazionale sono</w:t>
      </w:r>
      <w:r>
        <w:t xml:space="preserve"> </w:t>
      </w:r>
      <w:r>
        <w:t xml:space="preserve">diverse le metodologie per la valutazione delle emissioni</w:t>
      </w:r>
      <w:r>
        <w:t xml:space="preserve"> </w:t>
      </w:r>
      <w:r>
        <w:t xml:space="preserve">odorigene </w:t>
      </w:r>
      <w:r>
        <w:rPr>
          <w:vertAlign w:val="superscript"/>
        </w:rPr>
        <w:t xml:space="preserve">3</w:t>
      </w:r>
      <w:r>
        <w:t xml:space="preserve">,</w:t>
      </w:r>
      <w:r>
        <w:t xml:space="preserve"> </w:t>
      </w:r>
      <w:r>
        <w:rPr>
          <w:vertAlign w:val="superscript"/>
        </w:rPr>
        <w:t xml:space="preserve">6</w:t>
      </w:r>
      <w:r>
        <w:t xml:space="preserve">. </w:t>
      </w:r>
    </w:p>
    <w:p>
      <w:pPr>
        <w:pStyle w:val="BodyText"/>
      </w:pPr>
      <w:r>
        <w:t xml:space="preserve">In generale, gli approcci sono due: la misurazione delle fonti di</w:t>
      </w:r>
      <w:r>
        <w:t xml:space="preserve"> </w:t>
      </w:r>
      <w:r>
        <w:t xml:space="preserve">emissione e/o le ispezioni di</w:t>
      </w:r>
      <w:r>
        <w:t xml:space="preserve"> </w:t>
      </w:r>
      <w:r>
        <w:t xml:space="preserve">campo </w:t>
      </w:r>
      <w:r>
        <w:rPr>
          <w:vertAlign w:val="superscript"/>
        </w:rPr>
        <w:t xml:space="preserve">7</w:t>
      </w:r>
      <w:r>
        <w:t xml:space="preserve">, </w:t>
      </w:r>
      <w:r>
        <w:rPr>
          <w:vertAlign w:val="superscript"/>
        </w:rPr>
        <w:t xml:space="preserve">8</w:t>
      </w:r>
      <w:r>
        <w:t xml:space="preserve">. Il primo approccio può</w:t>
      </w:r>
      <w:r>
        <w:t xml:space="preserve"> </w:t>
      </w:r>
      <w:r>
        <w:t xml:space="preserve">essere raggiunto tramite differenti metodi (analitico, sensoriale e/o</w:t>
      </w:r>
      <w:r>
        <w:t xml:space="preserve"> </w:t>
      </w:r>
      <w:r>
        <w:t xml:space="preserve">senso-strumentale) </w:t>
      </w:r>
      <w:r>
        <w:rPr>
          <w:vertAlign w:val="superscript"/>
        </w:rPr>
        <w:t xml:space="preserve">3</w:t>
      </w:r>
      <w:r>
        <w:t xml:space="preserve">. Il secondo approccio, invece,</w:t>
      </w:r>
      <w:r>
        <w:t xml:space="preserve"> </w:t>
      </w:r>
      <w:r>
        <w:t xml:space="preserve">prevede principalmente l’applicazione del modello di dispersione</w:t>
      </w:r>
      <w:r>
        <w:t xml:space="preserve"> </w:t>
      </w:r>
      <w:r>
        <w:t xml:space="preserve">atmosferica e/o delle tecniche di controllo locale </w:t>
      </w:r>
      <w:r>
        <w:rPr>
          <w:vertAlign w:val="superscript"/>
        </w:rPr>
        <w:t xml:space="preserve">7</w:t>
      </w:r>
      <w:r>
        <w:t xml:space="preserve"> </w:t>
      </w:r>
      <w:r>
        <w:t xml:space="preserve">ed</w:t>
      </w:r>
      <w:r>
        <w:t xml:space="preserve"> </w:t>
      </w:r>
      <w:r>
        <w:t xml:space="preserve">ha bisogno di un gruppo di persone selezionate (valutatori), in</w:t>
      </w:r>
      <w:r>
        <w:t xml:space="preserve"> </w:t>
      </w:r>
      <w:r>
        <w:t xml:space="preserve">conformità alla normativa EN13725:2003, per la valutazione dell’impatto</w:t>
      </w:r>
      <w:r>
        <w:t xml:space="preserve"> </w:t>
      </w:r>
      <w:r>
        <w:t xml:space="preserve">odorigeno. Inoltre, la norma VDI3940 definisce, per questo metodo, delle</w:t>
      </w:r>
      <w:r>
        <w:t xml:space="preserve"> </w:t>
      </w:r>
      <w:r>
        <w:t xml:space="preserve">linee guida da seguire per standardizzare il numero di misurazioni N, il</w:t>
      </w:r>
      <w:r>
        <w:t xml:space="preserve"> </w:t>
      </w:r>
      <w:r>
        <w:t xml:space="preserve">periodo di analisi, l’impiego di risorse umane e il calcolo di parametri</w:t>
      </w:r>
      <w:r>
        <w:t xml:space="preserve"> </w:t>
      </w:r>
      <w:r>
        <w:t xml:space="preserve">come le ore di odore per ogni punto (n</w:t>
      </w:r>
      <w:r>
        <w:rPr>
          <w:vertAlign w:val="subscript"/>
        </w:rPr>
        <w:t xml:space="preserve">h</w:t>
      </w:r>
      <w:r>
        <w:t xml:space="preserve">) e il carico</w:t>
      </w:r>
      <w:r>
        <w:t xml:space="preserve"> </w:t>
      </w:r>
      <w:r>
        <w:t xml:space="preserve">odorigeno per ogni cella (OL). Tuttavia, questo metodo di valutazione</w:t>
      </w:r>
      <w:r>
        <w:t xml:space="preserve"> </w:t>
      </w:r>
      <w:r>
        <w:t xml:space="preserve">degli impatti odorigeni presenta due criticità. Esse sono l’elevato</w:t>
      </w:r>
      <w:r>
        <w:t xml:space="preserve"> </w:t>
      </w:r>
      <w:r>
        <w:t xml:space="preserve">costo, dovuto alla necessità di avere dei valutatori, e i tempi lunghi</w:t>
      </w:r>
      <w:r>
        <w:t xml:space="preserve"> </w:t>
      </w:r>
      <w:r>
        <w:t xml:space="preserve">per effettuare le analisi </w:t>
      </w:r>
      <w:r>
        <w:rPr>
          <w:vertAlign w:val="superscript"/>
        </w:rPr>
        <w:t xml:space="preserve">9</w:t>
      </w:r>
      <w:r>
        <w:t xml:space="preserve">. Questo</w:t>
      </w:r>
      <w:r>
        <w:t xml:space="preserve"> </w:t>
      </w:r>
      <w:r>
        <w:t xml:space="preserve">studio </w:t>
      </w:r>
      <w:r>
        <w:rPr>
          <w:vertAlign w:val="superscript"/>
        </w:rPr>
        <w:t xml:space="preserve">10</w:t>
      </w:r>
      <w:r>
        <w:t xml:space="preserve"> </w:t>
      </w:r>
      <w:r>
        <w:t xml:space="preserve">ha come obiettivo l’ottimizzazione di queste</w:t>
      </w:r>
      <w:r>
        <w:t xml:space="preserve"> </w:t>
      </w:r>
      <w:r>
        <w:t xml:space="preserve">criticità del metodo attraverso la discussione di un caso studio.  </w:t>
      </w:r>
    </w:p>
    <w:p>
      <w:pPr>
        <w:pStyle w:val="Heading1"/>
      </w:pPr>
      <w:bookmarkStart w:id="23" w:name="presentazione-del-caso-studio"/>
      <w:bookmarkEnd w:id="23"/>
      <w:r>
        <w:t xml:space="preserve">Presentazione del caso</w:t>
      </w:r>
      <w:r>
        <w:t xml:space="preserve"> </w:t>
      </w:r>
      <w:r>
        <w:t xml:space="preserve">studio</w:t>
      </w:r>
    </w:p>
    <w:p>
      <w:pPr>
        <w:pStyle w:val="FirstParagraph"/>
      </w:pPr>
      <w:r>
        <w:t xml:space="preserve">Il metodo per la valutazione degli impatti odorigeni tramite ispezioni</w:t>
      </w:r>
      <w:r>
        <w:t xml:space="preserve"> </w:t>
      </w:r>
      <w:r>
        <w:t xml:space="preserve">di campo è stato applicato ad un impianto di trattamento delle acque</w:t>
      </w:r>
      <w:r>
        <w:t xml:space="preserve"> </w:t>
      </w:r>
      <w:r>
        <w:t xml:space="preserve">reflue. L’area è stata divisa in una griglia composta da diverse celle</w:t>
      </w:r>
      <w:r>
        <w:t xml:space="preserve"> </w:t>
      </w:r>
      <w:r>
        <w:t xml:space="preserve">(quadrate), come suggerito dalla norma VDI3940. La lunghezza dei lati di</w:t>
      </w:r>
      <w:r>
        <w:t xml:space="preserve"> </w:t>
      </w:r>
      <w:r>
        <w:t xml:space="preserve">ogni cella è stata posta pari a 250 metri. I vertici delle celle sono</w:t>
      </w:r>
      <w:r>
        <w:t xml:space="preserve"> </w:t>
      </w:r>
      <w:r>
        <w:t xml:space="preserve">stati identificati con dei numeri mentre ogni cella con una lettera.</w:t>
      </w:r>
    </w:p>
    <w:p>
      <w:pPr>
        <w:pStyle w:val="FigureWithCaption"/>
      </w:pPr>
      <w:r>
        <w:drawing>
          <wp:inline>
            <wp:extent cx="824400" cy="568800"/>
            <wp:effectExtent b="0" l="0" r="0" t="0"/>
            <wp:docPr descr="Costruzione griglia di valutazione " title="" id="1" name="Picture"/>
            <a:graphic>
              <a:graphicData uri="http://schemas.openxmlformats.org/drawingml/2006/picture">
                <pic:pic>
                  <pic:nvPicPr>
                    <pic:cNvPr descr="figures/griglia3/griglia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00" cy="56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Costruzione griglia di valutazione</w:t>
      </w:r>
      <w:r>
        <w:t xml:space="preserve"> </w:t>
      </w:r>
    </w:p>
    <w:p>
      <w:pPr>
        <w:pStyle w:val="BodyText"/>
      </w:pPr>
      <w:r>
        <w:t xml:space="preserve">Il monitoraggio delle emissioni odorigene è stato effettuato, in accordo</w:t>
      </w:r>
      <w:r>
        <w:t xml:space="preserve"> </w:t>
      </w:r>
      <w:r>
        <w:t xml:space="preserve">con la norma VDI3940, due volte a settimana, in ogni vertice delle</w:t>
      </w:r>
      <w:r>
        <w:t xml:space="preserve"> </w:t>
      </w:r>
      <w:r>
        <w:t xml:space="preserve">celle, da aprile a settembre 2009. Per la valutazione delle emissioni</w:t>
      </w:r>
      <w:r>
        <w:t xml:space="preserve"> </w:t>
      </w:r>
      <w:r>
        <w:t xml:space="preserve">sono state individuate quattro classi di qualità: odore di liquame</w:t>
      </w:r>
      <w:r>
        <w:t xml:space="preserve"> </w:t>
      </w:r>
      <w:r>
        <w:t xml:space="preserve">(qualità 1), odore di spazzatura (qualità 2), smog (qualità 3) e</w:t>
      </w:r>
      <w:r>
        <w:t xml:space="preserve"> </w:t>
      </w:r>
      <w:r>
        <w:t xml:space="preserve">“</w:t>
      </w:r>
      <w:r>
        <w:t xml:space="preserve">altri</w:t>
      </w:r>
      <w:r>
        <w:t xml:space="preserve"> </w:t>
      </w:r>
      <w:r>
        <w:t xml:space="preserve">odori</w:t>
      </w:r>
      <w:r>
        <w:t xml:space="preserve">”</w:t>
      </w:r>
      <w:r>
        <w:t xml:space="preserve"> </w:t>
      </w:r>
      <w:r>
        <w:t xml:space="preserve">(qualità 4). Cinque valutatori hanno effettuato le ricognizioni</w:t>
      </w:r>
      <w:r>
        <w:t xml:space="preserve"> </w:t>
      </w:r>
      <w:r>
        <w:t xml:space="preserve">dalle 9 del mattino alle 10 di sera. In totale sono state fatte 52</w:t>
      </w:r>
      <w:r>
        <w:t xml:space="preserve"> </w:t>
      </w:r>
      <w:r>
        <w:t xml:space="preserve">misurazioni per ogni vertice. Per ogni misura sono state calcolate le</w:t>
      </w:r>
      <w:r>
        <w:t xml:space="preserve"> </w:t>
      </w:r>
      <w:r>
        <w:t xml:space="preserve">ore di odore (nh) e il carico di odore (OL) come suggerito dal VDI3940.</w:t>
      </w:r>
      <w:r>
        <w:t xml:space="preserve"> </w:t>
      </w:r>
      <w:r>
        <w:t xml:space="preserve">Per avere misurazioni ottimali (sottovento, velocità del vento da 1 a 3</w:t>
      </w:r>
      <w:r>
        <w:t xml:space="preserve"> </w:t>
      </w:r>
      <w:r>
        <w:t xml:space="preserve">m/s, temperatura sotto i 35 °C</w:t>
      </w:r>
      <w:r>
        <w:t xml:space="preserve"> </w:t>
      </w:r>
      <w:r>
        <w:rPr>
          <w:vertAlign w:val="superscript"/>
        </w:rPr>
        <w:t xml:space="preserve">3</w:t>
      </w:r>
      <w:r>
        <w:t xml:space="preserve">, sono state</w:t>
      </w:r>
      <w:r>
        <w:t xml:space="preserve"> </w:t>
      </w:r>
      <w:r>
        <w:t xml:space="preserve">controllate di continuo le condizioni meteorologiche (l’intensità e la</w:t>
      </w:r>
      <w:r>
        <w:t xml:space="preserve"> </w:t>
      </w:r>
      <w:r>
        <w:t xml:space="preserve">direzione del vento, la temperatura, l’umidità, la pressione).</w:t>
      </w:r>
    </w:p>
    <w:p>
      <w:pPr>
        <w:pStyle w:val="BodyText"/>
      </w:pPr>
      <w:r>
        <w:t xml:space="preserve">La fase di valutazione degli odori è stata condotta rispetto le linee</w:t>
      </w:r>
      <w:r>
        <w:t xml:space="preserve"> </w:t>
      </w:r>
      <w:r>
        <w:t xml:space="preserve">guida tedesche GIRL (Geruchsimmission – Richtlinie) sulle immissioni di</w:t>
      </w:r>
      <w:r>
        <w:t xml:space="preserve"> </w:t>
      </w:r>
      <w:r>
        <w:t xml:space="preserve">odore, che stabilisce per le zone industriale un limite di accettabilità</w:t>
      </w:r>
      <w:r>
        <w:t xml:space="preserve"> </w:t>
      </w:r>
      <w:r>
        <w:t xml:space="preserve">di</w:t>
      </w:r>
      <w:r>
        <w:t xml:space="preserve"> </w:t>
      </w:r>
      <w:r>
        <w:t xml:space="preserve">“</w:t>
      </w:r>
      <w:r>
        <w:t xml:space="preserve">ore di odore</w:t>
      </w:r>
      <w:r>
        <w:t xml:space="preserve">”</w:t>
      </w:r>
      <w:r>
        <w:t xml:space="preserve">, che possono essere percepite dalla popolazione</w:t>
      </w:r>
      <w:r>
        <w:t xml:space="preserve"> </w:t>
      </w:r>
      <w:r>
        <w:t xml:space="preserve">limitrofa, del 15%. Inoltre, per controllare il vento sono state</w:t>
      </w:r>
      <w:r>
        <w:t xml:space="preserve"> </w:t>
      </w:r>
      <w:r>
        <w:t xml:space="preserve">utilizzate apparecchiature specifiche.</w:t>
      </w:r>
    </w:p>
    <w:p>
      <w:pPr>
        <w:pStyle w:val="BodyText"/>
      </w:pPr>
      <w:r>
        <w:t xml:space="preserve">I vari dati raccolti sono stati analizzati tramite procedure statistiche</w:t>
      </w:r>
      <w:r>
        <w:t xml:space="preserve"> </w:t>
      </w:r>
      <w:r>
        <w:t xml:space="preserve">relativamente semplici. Per ottimizzare il metodo si è pensato di</w:t>
      </w:r>
      <w:r>
        <w:t xml:space="preserve"> </w:t>
      </w:r>
      <w:r>
        <w:t xml:space="preserve">ridurre le frequenze di campionamento. In particolare, si è passati da</w:t>
      </w:r>
      <w:r>
        <w:t xml:space="preserve"> </w:t>
      </w:r>
      <w:r>
        <w:t xml:space="preserve">due volte a settimana ad una volta al mese, per l’intero periodo</w:t>
      </w:r>
      <w:r>
        <w:t xml:space="preserve"> </w:t>
      </w:r>
      <w:r>
        <w:t xml:space="preserve">d’analisi (6 mesi). Per far ciò è stato seguita la procedura proposta da</w:t>
      </w:r>
      <w:r>
        <w:t xml:space="preserve"> </w:t>
      </w:r>
      <w:r>
        <w:rPr>
          <w:vertAlign w:val="superscript"/>
        </w:rPr>
        <w:t xml:space="preserve">11</w:t>
      </w:r>
      <w:r>
        <w:t xml:space="preserve">. Questi risultati sono stati poi comparti con quelli</w:t>
      </w:r>
      <w:r>
        <w:t xml:space="preserve"> </w:t>
      </w:r>
      <w:r>
        <w:t xml:space="preserve">ottenuti con la procedura standard in accordo alla VDI3940.</w:t>
      </w:r>
    </w:p>
    <w:p>
      <w:pPr>
        <w:pStyle w:val="Heading1"/>
      </w:pPr>
      <w:bookmarkStart w:id="25" w:name="discussione-dei-risultati"/>
      <w:bookmarkEnd w:id="25"/>
      <w:r>
        <w:t xml:space="preserve">Discussione dei risultati</w:t>
      </w:r>
    </w:p>
    <w:p>
      <w:pPr>
        <w:pStyle w:val="FirstParagraph"/>
      </w:pPr>
      <w:r>
        <w:t xml:space="preserve">Il carico odorigeno totale al termine del periodo d’analisi, valutato</w:t>
      </w:r>
      <w:r>
        <w:t xml:space="preserve"> </w:t>
      </w:r>
      <w:r>
        <w:t xml:space="preserve">secondo la norma VDI3940, è risultato essere pari al 21.9%. Nello</w:t>
      </w:r>
      <w:r>
        <w:t xml:space="preserve"> </w:t>
      </w:r>
      <w:r>
        <w:t xml:space="preserve">specifico, il 16% era di qualità 1 (odore di liquame), il 3.9% di</w:t>
      </w:r>
      <w:r>
        <w:t xml:space="preserve"> </w:t>
      </w:r>
      <w:r>
        <w:t xml:space="preserve">qualità 2 (odore di spazzatura), 1.1% di qualità 3 (smog) e lo 0.9% di</w:t>
      </w:r>
      <w:r>
        <w:t xml:space="preserve"> </w:t>
      </w:r>
      <w:r>
        <w:t xml:space="preserve">qualità 4 (</w:t>
      </w:r>
      <w:r>
        <w:t xml:space="preserve">“</w:t>
      </w:r>
      <w:r>
        <w:t xml:space="preserve">altri odori</w:t>
      </w:r>
      <w:r>
        <w:t xml:space="preserve">”</w:t>
      </w:r>
      <w:r>
        <w:t xml:space="preserve">). Dunque solo la qualità 1 (odore di liquame)</w:t>
      </w:r>
      <w:r>
        <w:t xml:space="preserve"> </w:t>
      </w:r>
      <w:r>
        <w:t xml:space="preserve">supera il limite del 15% posto dalle linee guida tedesche GIRL.</w:t>
      </w:r>
    </w:p>
    <w:p>
      <w:pPr>
        <w:pStyle w:val="BodyText"/>
      </w:pPr>
      <w:r>
        <w:t xml:space="preserve">I risultati delle analisi statistiche eseguite sulle ore di odore hanno</w:t>
      </w:r>
      <w:r>
        <w:t xml:space="preserve"> </w:t>
      </w:r>
      <w:r>
        <w:t xml:space="preserve">mostrano che quando l’ora di odore totale era ≥ 1 per tre misure</w:t>
      </w:r>
      <w:r>
        <w:t xml:space="preserve"> </w:t>
      </w:r>
      <w:r>
        <w:t xml:space="preserve">consecutive, era possibile ridurre la frequenza di campionamento da 2</w:t>
      </w:r>
      <w:r>
        <w:t xml:space="preserve"> </w:t>
      </w:r>
      <w:r>
        <w:t xml:space="preserve">volte al mese a una volta al mese. Nelle celle dove è stato possibile</w:t>
      </w:r>
      <w:r>
        <w:t xml:space="preserve"> </w:t>
      </w:r>
      <w:r>
        <w:t xml:space="preserve">ridurre le frequenze di campionamento, i risultati non evidenziano</w:t>
      </w:r>
      <w:r>
        <w:t xml:space="preserve"> </w:t>
      </w:r>
      <w:r>
        <w:t xml:space="preserve">cambiamenti in termine di impatto odorigeno.</w:t>
      </w:r>
    </w:p>
    <w:p>
      <w:pPr>
        <w:pStyle w:val="BodyText"/>
      </w:pPr>
      <w:r>
        <w:t xml:space="preserve">Il carico odorigeno totale medio, ottenuto con l’ottimizzazione delle</w:t>
      </w:r>
      <w:r>
        <w:t xml:space="preserve"> </w:t>
      </w:r>
      <w:r>
        <w:t xml:space="preserve">frequenze di campionamento, è risultato pari al 22.4%. Anche in questo</w:t>
      </w:r>
      <w:r>
        <w:t xml:space="preserve"> </w:t>
      </w:r>
      <w:r>
        <w:t xml:space="preserve">caso, a superare il limite del 15% è stato l’odore di liquame.</w:t>
      </w:r>
    </w:p>
    <w:p>
      <w:pPr>
        <w:pStyle w:val="BodyText"/>
      </w:pPr>
      <w:r>
        <w:t xml:space="preserve">Negli ultimi anni, con il progredire della ricerca, il metodo tramite</w:t>
      </w:r>
      <w:r>
        <w:t xml:space="preserve"> </w:t>
      </w:r>
      <w:r>
        <w:t xml:space="preserve">ispezioni di campo è stato implementato</w:t>
      </w:r>
      <w:r>
        <w:t xml:space="preserve"> </w:t>
      </w:r>
      <w:r>
        <w:t xml:space="preserve">ulteriormente </w:t>
      </w:r>
      <w:r>
        <w:rPr>
          <w:vertAlign w:val="superscript"/>
        </w:rPr>
        <w:t xml:space="preserve">12</w:t>
      </w:r>
      <w:r>
        <w:t xml:space="preserve">. Inoltre, si sono sviluppati nuovi</w:t>
      </w:r>
      <w:r>
        <w:t xml:space="preserve"> </w:t>
      </w:r>
      <w:r>
        <w:t xml:space="preserve">strumenti </w:t>
      </w:r>
      <w:r>
        <w:rPr>
          <w:vertAlign w:val="superscript"/>
        </w:rPr>
        <w:t xml:space="preserve">13</w:t>
      </w:r>
      <w:r>
        <w:t xml:space="preserve"> </w:t>
      </w:r>
      <w:r>
        <w:t xml:space="preserve">e individuati nuovi parametri</w:t>
      </w:r>
      <w:r>
        <w:t xml:space="preserve"> </w:t>
      </w:r>
      <w:r>
        <w:t xml:space="preserve"> </w:t>
      </w:r>
      <w:r>
        <w:rPr>
          <w:vertAlign w:val="superscript"/>
        </w:rPr>
        <w:t xml:space="preserve">14</w:t>
      </w:r>
      <w:r>
        <w:t xml:space="preserve"> che permettono di migliorare la misurazione e la</w:t>
      </w:r>
      <w:r>
        <w:t xml:space="preserve"> </w:t>
      </w:r>
      <w:r>
        <w:t xml:space="preserve">valutazione delle emissioni odorigene.</w:t>
      </w:r>
    </w:p>
    <w:p>
      <w:pPr>
        <w:pStyle w:val="Heading1"/>
      </w:pPr>
      <w:bookmarkStart w:id="26" w:name="conclusioni"/>
      <w:bookmarkEnd w:id="26"/>
      <w:r>
        <w:t xml:space="preserve">Conclusioni</w:t>
      </w:r>
    </w:p>
    <w:p>
      <w:pPr>
        <w:pStyle w:val="FirstParagraph"/>
      </w:pPr>
      <w:r>
        <w:t xml:space="preserve">In un’area sensibile agli odori, è stato applicato il metodo per la</w:t>
      </w:r>
      <w:r>
        <w:t xml:space="preserve"> </w:t>
      </w:r>
      <w:r>
        <w:t xml:space="preserve">valutazione dell’impatto odorigeno tramite ispezioni di campo, in</w:t>
      </w:r>
      <w:r>
        <w:t xml:space="preserve"> </w:t>
      </w:r>
      <w:r>
        <w:t xml:space="preserve">accordo alla norma VDI3940, con l’obiettivo di ottimizzare le sue</w:t>
      </w:r>
      <w:r>
        <w:t xml:space="preserve"> </w:t>
      </w:r>
      <w:r>
        <w:t xml:space="preserve">criticità, cioè risorse umane, tempi e costi.  Le analisi statistiche</w:t>
      </w:r>
      <w:r>
        <w:t xml:space="preserve"> </w:t>
      </w:r>
      <w:r>
        <w:t xml:space="preserve">dei risultati hanno mostrato la possibilità, nelle celle in cui erano</w:t>
      </w:r>
      <w:r>
        <w:t xml:space="preserve"> </w:t>
      </w:r>
      <w:r>
        <w:t xml:space="preserve">presenti andamenti monotoni crescenti, di ridurre il numero di</w:t>
      </w:r>
      <w:r>
        <w:t xml:space="preserve"> </w:t>
      </w:r>
      <w:r>
        <w:t xml:space="preserve">misurazioni.</w:t>
      </w:r>
    </w:p>
    <w:p>
      <w:pPr>
        <w:pStyle w:val="Heading1"/>
      </w:pPr>
      <w:bookmarkStart w:id="27" w:name="references"/>
      <w:bookmarkEnd w:id="27"/>
      <w:r>
        <w:t xml:space="preserve">References</w:t>
      </w:r>
    </w:p>
    <w:p>
      <w:pPr>
        <w:pStyle w:val="FirstParagraph"/>
      </w:pPr>
      <w:r>
        <w:t xml:space="preserve">1.Aatamila, M.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Odour annoyance and physical symptoms among residents living near waste treatment centres</w:t>
      </w:r>
      <w:r>
        <w:t xml:space="preserve">.</w:t>
      </w:r>
      <w:r>
        <w:t xml:space="preserve"> </w:t>
      </w:r>
      <w:r>
        <w:rPr>
          <w:i/>
        </w:rPr>
        <w:t xml:space="preserve">Environmental Research</w:t>
      </w:r>
      <w:r>
        <w:t xml:space="preserve"> </w:t>
      </w:r>
      <w:r>
        <w:rPr>
          <w:b/>
        </w:rPr>
        <w:t xml:space="preserve">111</w:t>
      </w:r>
      <w:r>
        <w:t xml:space="preserve">, 164–170 (2011).</w:t>
      </w:r>
    </w:p>
    <w:p>
      <w:pPr>
        <w:pStyle w:val="BodyText"/>
      </w:pPr>
      <w:r>
        <w:t xml:space="preserve">2.Latos, M., Karageorgos, P., Kalogerakis, N. &amp; Lazaridis, M.</w:t>
      </w:r>
      <w:r>
        <w:t xml:space="preserve"> </w:t>
      </w:r>
      <w:r>
        <w:t xml:space="preserve">Dispersion of Odorous Gaseous Compounds Emitted from Wastewater Treatment Plants</w:t>
      </w:r>
      <w:r>
        <w:t xml:space="preserve">.</w:t>
      </w:r>
      <w:r>
        <w:t xml:space="preserve"> </w:t>
      </w:r>
      <w:r>
        <w:rPr>
          <w:i/>
        </w:rPr>
        <w:t xml:space="preserve">Water Air,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Soil Pollution</w:t>
      </w:r>
      <w:r>
        <w:t xml:space="preserve"> </w:t>
      </w:r>
      <w:r>
        <w:rPr>
          <w:b/>
        </w:rPr>
        <w:t xml:space="preserve">215</w:t>
      </w:r>
      <w:r>
        <w:t xml:space="preserve">, 667–677 (2010).</w:t>
      </w:r>
    </w:p>
    <w:p>
      <w:pPr>
        <w:pStyle w:val="BodyText"/>
      </w:pPr>
      <w:r>
        <w:t xml:space="preserve">3.Zarra, T., Naddeo, V., Belgiorno, V., Reiser, M. &amp; Kranert, M.</w:t>
      </w:r>
      <w:r>
        <w:t xml:space="preserve"> </w:t>
      </w:r>
      <w:r>
        <w:t xml:space="preserve">Odour monitoring of small wastewater treatment plant located in sensitive environment</w:t>
      </w:r>
      <w:r>
        <w:t xml:space="preserve">.</w:t>
      </w:r>
      <w:r>
        <w:t xml:space="preserve"> </w:t>
      </w:r>
      <w:r>
        <w:rPr>
          <w:i/>
        </w:rPr>
        <w:t xml:space="preserve">Water Science and Technology</w:t>
      </w:r>
      <w:r>
        <w:t xml:space="preserve"> </w:t>
      </w:r>
      <w:r>
        <w:rPr>
          <w:b/>
        </w:rPr>
        <w:t xml:space="preserve">58</w:t>
      </w:r>
      <w:r>
        <w:t xml:space="preserve">, 89–94 (2008).</w:t>
      </w:r>
    </w:p>
    <w:p>
      <w:pPr>
        <w:pStyle w:val="BodyText"/>
      </w:pPr>
      <w:r>
        <w:t xml:space="preserve">4.Gostelow, P., Parsons, S. A. &amp; Stuetz, R. M.</w:t>
      </w:r>
      <w:r>
        <w:t xml:space="preserve"> </w:t>
      </w:r>
      <w:r>
        <w:t xml:space="preserve">Odour measurements for sewage treatment works</w:t>
      </w:r>
      <w:r>
        <w:t xml:space="preserve">.</w:t>
      </w:r>
      <w:r>
        <w:t xml:space="preserve"> </w:t>
      </w:r>
      <w:r>
        <w:rPr>
          <w:i/>
        </w:rPr>
        <w:t xml:space="preserve">Water Research</w:t>
      </w:r>
      <w:r>
        <w:t xml:space="preserve"> </w:t>
      </w:r>
      <w:r>
        <w:rPr>
          <w:b/>
        </w:rPr>
        <w:t xml:space="preserve">35</w:t>
      </w:r>
      <w:r>
        <w:t xml:space="preserve">, 579–597 (2001).</w:t>
      </w:r>
    </w:p>
    <w:p>
      <w:pPr>
        <w:pStyle w:val="BodyText"/>
      </w:pPr>
      <w:r>
        <w:t xml:space="preserve">5.Naddeo, V., Belgiorno, V. &amp; Zarra, T.</w:t>
      </w:r>
      <w:r>
        <w:t xml:space="preserve"> </w:t>
      </w:r>
      <w:r>
        <w:t xml:space="preserve">Odour Characterization and Exposure Effects</w:t>
      </w:r>
      <w:r>
        <w:t xml:space="preserve">. in</w:t>
      </w:r>
      <w:r>
        <w:t xml:space="preserve"> </w:t>
      </w:r>
      <w:r>
        <w:rPr>
          <w:i/>
        </w:rPr>
        <w:t xml:space="preserve">Odour Impact Assessment Handbook</w:t>
      </w:r>
      <w:r>
        <w:t xml:space="preserve"> </w:t>
      </w:r>
      <w:r>
        <w:t xml:space="preserve">7–29 (John Wiley</w:t>
      </w:r>
      <w:r>
        <w:t xml:space="preserve"> </w:t>
      </w:r>
      <w:r>
        <w:t xml:space="preserve">&amp;</w:t>
      </w:r>
      <w:r>
        <w:t xml:space="preserve"> </w:t>
      </w:r>
      <w:r>
        <w:t xml:space="preserve">Sons Inc., 2012). doi:10.1002/9781118481264.ch2.</w:t>
      </w:r>
    </w:p>
    <w:p>
      <w:pPr>
        <w:pStyle w:val="BodyText"/>
      </w:pPr>
      <w:r>
        <w:t xml:space="preserve">6.Brattoli, M.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Odour Detection Methods: Olfactometry and Chemical Sensors</w:t>
      </w:r>
      <w:r>
        <w:t xml:space="preserve">.</w:t>
      </w:r>
      <w:r>
        <w:t xml:space="preserve"> </w:t>
      </w:r>
      <w:r>
        <w:rPr>
          <w:i/>
        </w:rPr>
        <w:t xml:space="preserve">Sensors</w:t>
      </w:r>
      <w:r>
        <w:t xml:space="preserve"> </w:t>
      </w:r>
      <w:r>
        <w:rPr>
          <w:b/>
        </w:rPr>
        <w:t xml:space="preserve">11</w:t>
      </w:r>
      <w:r>
        <w:t xml:space="preserve">, 5290–5322 (2011).</w:t>
      </w:r>
    </w:p>
    <w:p>
      <w:pPr>
        <w:pStyle w:val="BodyText"/>
      </w:pPr>
      <w:r>
        <w:t xml:space="preserve">7.Zarra, T.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Instruments and Methods for Odour Sampling and Measurement</w:t>
      </w:r>
      <w:r>
        <w:t xml:space="preserve">. in</w:t>
      </w:r>
      <w:r>
        <w:t xml:space="preserve"> </w:t>
      </w:r>
      <w:r>
        <w:rPr>
          <w:i/>
        </w:rPr>
        <w:t xml:space="preserve">Odour Impact Assessment Handbook</w:t>
      </w:r>
      <w:r>
        <w:t xml:space="preserve"> </w:t>
      </w:r>
      <w:r>
        <w:t xml:space="preserve">31–83 (John Wiley</w:t>
      </w:r>
      <w:r>
        <w:t xml:space="preserve"> </w:t>
      </w:r>
      <w:r>
        <w:t xml:space="preserve">&amp;</w:t>
      </w:r>
      <w:r>
        <w:t xml:space="preserve"> </w:t>
      </w:r>
      <w:r>
        <w:t xml:space="preserve">Sons Inc., 2012). doi:10.1002/9781118481264.ch3.</w:t>
      </w:r>
    </w:p>
    <w:p>
      <w:pPr>
        <w:pStyle w:val="BodyText"/>
      </w:pPr>
      <w:r>
        <w:t xml:space="preserve">8.Guillot, J. M.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The future European standard to determine odour in ambient air by using field inspection</w:t>
      </w:r>
      <w:r>
        <w:t xml:space="preserve">.</w:t>
      </w:r>
      <w:r>
        <w:t xml:space="preserve"> </w:t>
      </w:r>
      <w:r>
        <w:rPr>
          <w:i/>
        </w:rPr>
        <w:t xml:space="preserve">Water Science and Technology</w:t>
      </w:r>
      <w:r>
        <w:t xml:space="preserve"> </w:t>
      </w:r>
      <w:r>
        <w:rPr>
          <w:b/>
        </w:rPr>
        <w:t xml:space="preserve">66</w:t>
      </w:r>
      <w:r>
        <w:t xml:space="preserve">, 1691–1698 (2012).</w:t>
      </w:r>
    </w:p>
    <w:p>
      <w:pPr>
        <w:pStyle w:val="BodyText"/>
      </w:pPr>
      <w:r>
        <w:t xml:space="preserve">9.Harreveld, A. P. (T. van, Heeres, P. &amp; Harssema, H.</w:t>
      </w:r>
      <w:r>
        <w:t xml:space="preserve"> </w:t>
      </w:r>
      <w:r>
        <w:t xml:space="preserve">A Review of 20 Years of Standardization of Odor Concentration Measurement by Dynamic Olfactometry in Europe</w:t>
      </w:r>
      <w:r>
        <w:t xml:space="preserve">.</w:t>
      </w:r>
      <w:r>
        <w:t xml:space="preserve"> </w:t>
      </w:r>
      <w:r>
        <w:rPr>
          <w:i/>
        </w:rPr>
        <w:t xml:space="preserve">Journal of the Air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Waste Management Association</w:t>
      </w:r>
      <w:r>
        <w:t xml:space="preserve"> </w:t>
      </w:r>
      <w:r>
        <w:rPr>
          <w:b/>
        </w:rPr>
        <w:t xml:space="preserve">49</w:t>
      </w:r>
      <w:r>
        <w:t xml:space="preserve">, 705–715 (1999).</w:t>
      </w:r>
    </w:p>
    <w:p>
      <w:pPr>
        <w:pStyle w:val="BodyText"/>
      </w:pPr>
      <w:r>
        <w:t xml:space="preserve">10.Zarra, T., Naddeo, V. &amp; Belgiorno, V.</w:t>
      </w:r>
      <w:r>
        <w:t xml:space="preserve"> </w:t>
      </w:r>
      <w:r>
        <w:t xml:space="preserve">Optimization of Field Inspection Method for Odour Impact Assessment</w:t>
      </w:r>
      <w:r>
        <w:t xml:space="preserve">.</w:t>
      </w:r>
      <w:r>
        <w:t xml:space="preserve"> </w:t>
      </w:r>
      <w:r>
        <w:rPr>
          <w:i/>
        </w:rPr>
        <w:t xml:space="preserve">Chemical Engineering Transactions</w:t>
      </w:r>
      <w:r>
        <w:t xml:space="preserve"> </w:t>
      </w:r>
      <w:r>
        <w:rPr>
          <w:b/>
        </w:rPr>
        <w:t xml:space="preserve">23</w:t>
      </w:r>
      <w:r>
        <w:t xml:space="preserve">, (2010).</w:t>
      </w:r>
    </w:p>
    <w:p>
      <w:pPr>
        <w:pStyle w:val="BodyText"/>
      </w:pPr>
      <w:r>
        <w:t xml:space="preserve">11.Belgiorno, V., Naddeo, V. &amp; Rizzo, L.</w:t>
      </w:r>
      <w:r>
        <w:t xml:space="preserve"> </w:t>
      </w:r>
      <w:r>
        <w:t xml:space="preserve">Water quality management tools for the application of the EU water framework directive</w:t>
      </w:r>
      <w:r>
        <w:t xml:space="preserve">. in (2003).</w:t>
      </w:r>
    </w:p>
    <w:p>
      <w:pPr>
        <w:pStyle w:val="BodyText"/>
      </w:pPr>
      <w:r>
        <w:t xml:space="preserve">12.Bakhtari, A. &amp; Medina, S.</w:t>
      </w:r>
      <w:r>
        <w:t xml:space="preserve"> </w:t>
      </w:r>
      <w:r>
        <w:t xml:space="preserve">Enhancing VDI3940 Grid Method via In-Field Olfactometry to Obtain Complete Odour Impact Assessment</w:t>
      </w:r>
      <w:r>
        <w:t xml:space="preserve">.</w:t>
      </w:r>
      <w:r>
        <w:t xml:space="preserve"> </w:t>
      </w:r>
      <w:r>
        <w:rPr>
          <w:i/>
        </w:rPr>
        <w:t xml:space="preserve">Chemical Engineering Transactions</w:t>
      </w:r>
      <w:r>
        <w:t xml:space="preserve"> </w:t>
      </w:r>
      <w:r>
        <w:rPr>
          <w:b/>
        </w:rPr>
        <w:t xml:space="preserve">54</w:t>
      </w:r>
      <w:r>
        <w:t xml:space="preserve">, (2016).</w:t>
      </w:r>
    </w:p>
    <w:p>
      <w:pPr>
        <w:pStyle w:val="BodyText"/>
      </w:pPr>
      <w:r>
        <w:t xml:space="preserve">13.Viccione, G., Zarra, T., Giuliani, S., Naddeo, V. &amp; Belgiorno, V.</w:t>
      </w:r>
      <w:r>
        <w:t xml:space="preserve"> </w:t>
      </w:r>
      <w:r>
        <w:t xml:space="preserve">Performance Study of E-Nose Measurement Chamber for Environmental Odour Monitoring</w:t>
      </w:r>
      <w:r>
        <w:t xml:space="preserve">.</w:t>
      </w:r>
      <w:r>
        <w:t xml:space="preserve"> </w:t>
      </w:r>
      <w:r>
        <w:rPr>
          <w:i/>
        </w:rPr>
        <w:t xml:space="preserve">Chemical Engineering Transactions</w:t>
      </w:r>
      <w:r>
        <w:t xml:space="preserve"> </w:t>
      </w:r>
      <w:r>
        <w:rPr>
          <w:b/>
        </w:rPr>
        <w:t xml:space="preserve">30</w:t>
      </w:r>
      <w:r>
        <w:t xml:space="preserve">, (2012).</w:t>
      </w:r>
    </w:p>
    <w:p>
      <w:pPr>
        <w:pStyle w:val="BodyText"/>
      </w:pPr>
      <w:r>
        <w:t xml:space="preserve">14.Giuliani, S., Zarra, T., Naddeo, V. &amp; Belgiorno, V.</w:t>
      </w:r>
      <w:r>
        <w:t xml:space="preserve"> </w:t>
      </w:r>
      <w:r>
        <w:t xml:space="preserve">A novel tool for odor emission assessment in wastewater treatment plant</w:t>
      </w:r>
      <w:r>
        <w:t xml:space="preserve">.</w:t>
      </w:r>
      <w:r>
        <w:t xml:space="preserve"> </w:t>
      </w:r>
      <w:r>
        <w:rPr>
          <w:i/>
        </w:rPr>
        <w:t xml:space="preserve">Desalination and Water Treatment</w:t>
      </w:r>
      <w:r>
        <w:t xml:space="preserve"> </w:t>
      </w:r>
      <w:r>
        <w:rPr>
          <w:b/>
        </w:rPr>
        <w:t xml:space="preserve">55</w:t>
      </w:r>
      <w:r>
        <w:t xml:space="preserve">, 712–717 (2014).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ef5f1d32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4" Target="media/rId24.png" /><Relationship Type="http://schemas.openxmlformats.org/officeDocument/2006/relationships/image" Id="rId22" Target="media/rId22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Ottimizzazione del metodo per la valutazione dell’impatto odorigeno tramite ispezioni di campo            </dc:title>
  <dc:creator>Vincenzo Ricciardi</dc:creator>
  <dcterms:created xsi:type="dcterms:W3CDTF">2020-03-31T14:30:36Z</dcterms:created>
  <dcterms:modified xsi:type="dcterms:W3CDTF">2020-03-31T14:30:36Z</dcterms:modified>
</cp:coreProperties>
</file>