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L’autorizzazione</w:t>
      </w:r>
      <w:r>
        <w:t xml:space="preserve"> </w:t>
      </w:r>
      <w:r>
        <w:t xml:space="preserve">integrata</w:t>
      </w:r>
      <w:r>
        <w:t xml:space="preserve"> </w:t>
      </w:r>
      <w:r>
        <w:t xml:space="preserve">ambientale</w:t>
      </w:r>
      <w:r>
        <w:t xml:space="preserve"> </w:t>
      </w:r>
      <w:r>
        <w:t xml:space="preserve">(AIA)</w:t>
      </w:r>
    </w:p>
    <w:p>
      <w:pPr>
        <w:pStyle w:val="Author"/>
      </w:pPr>
      <w:r>
        <w:t xml:space="preserve">Alessia</w:t>
      </w:r>
      <w:r>
        <w:t xml:space="preserve"> </w:t>
      </w:r>
      <w:r>
        <w:t xml:space="preserve">Amich</w:t>
      </w:r>
    </w:p>
    <w:p>
      <w:pPr>
        <w:pStyle w:val="Author"/>
      </w:pPr>
      <w:r>
        <w:t xml:space="preserve">Francesca</w:t>
      </w:r>
      <w:r>
        <w:t xml:space="preserve"> </w:t>
      </w:r>
      <w:r>
        <w:t xml:space="preserve">Rocco</w:t>
      </w:r>
    </w:p>
    <w:p>
      <w:pPr>
        <w:pStyle w:val="Abstract"/>
      </w:pPr>
      <w:r>
        <w:t xml:space="preserve">L’autorizzazione</w:t>
      </w:r>
      <w:r>
        <w:t xml:space="preserve"> </w:t>
      </w:r>
      <w:r>
        <w:t xml:space="preserve">integrata</w:t>
      </w:r>
      <w:r>
        <w:t xml:space="preserve"> </w:t>
      </w:r>
      <w:r>
        <w:t xml:space="preserve">ambientale</w:t>
      </w:r>
      <w:r>
        <w:t xml:space="preserve"> </w:t>
      </w:r>
      <w:r>
        <w:t xml:space="preserve">(AIA)</w:t>
      </w:r>
      <w:r>
        <w:t xml:space="preserve"> </w:t>
      </w:r>
      <w:r>
        <w:t xml:space="preserve">è</w:t>
      </w:r>
      <w:r>
        <w:t xml:space="preserve"> </w:t>
      </w:r>
      <w:r>
        <w:t xml:space="preserve">un</w:t>
      </w:r>
      <w:r>
        <w:t xml:space="preserve"> </w:t>
      </w:r>
      <w:r>
        <w:t xml:space="preserve">procedimento</w:t>
      </w:r>
      <w:r>
        <w:t xml:space="preserve"> </w:t>
      </w:r>
      <w:r>
        <w:t xml:space="preserve">che</w:t>
      </w:r>
      <w:r>
        <w:t xml:space="preserve"> </w:t>
      </w:r>
      <w:r>
        <w:t xml:space="preserve">ha</w:t>
      </w:r>
      <w:r>
        <w:t xml:space="preserve"> </w:t>
      </w:r>
      <w:r>
        <w:t xml:space="preserve">lo</w:t>
      </w:r>
      <w:r>
        <w:t xml:space="preserve"> </w:t>
      </w:r>
      <w:r>
        <w:t xml:space="preserve">scopo</w:t>
      </w:r>
      <w:r>
        <w:t xml:space="preserve"> </w:t>
      </w:r>
      <w:r>
        <w:t xml:space="preserve">di</w:t>
      </w:r>
      <w:r>
        <w:t xml:space="preserve"> </w:t>
      </w:r>
      <w:r>
        <w:t xml:space="preserve">promuovere</w:t>
      </w:r>
      <w:r>
        <w:t xml:space="preserve"> </w:t>
      </w:r>
      <w:r>
        <w:t xml:space="preserve">e</w:t>
      </w:r>
      <w:r>
        <w:t xml:space="preserve"> </w:t>
      </w:r>
      <w:r>
        <w:t xml:space="preserve">perseguire</w:t>
      </w:r>
      <w:r>
        <w:t xml:space="preserve"> </w:t>
      </w:r>
      <w:r>
        <w:t xml:space="preserve">uno</w:t>
      </w:r>
      <w:r>
        <w:t xml:space="preserve"> </w:t>
      </w:r>
      <w:r>
        <w:t xml:space="preserve">sviluppo</w:t>
      </w:r>
      <w:r>
        <w:t xml:space="preserve"> </w:t>
      </w:r>
      <w:r>
        <w:t xml:space="preserve">sostenibile</w:t>
      </w:r>
      <w:r>
        <w:t xml:space="preserve"> </w:t>
      </w:r>
      <w:r>
        <w:t xml:space="preserve">attraverso</w:t>
      </w:r>
      <w:r>
        <w:t xml:space="preserve"> </w:t>
      </w:r>
      <w:r>
        <w:t xml:space="preserve">le</w:t>
      </w:r>
      <w:r>
        <w:t xml:space="preserve"> </w:t>
      </w:r>
      <w:r>
        <w:t xml:space="preserve">migliori</w:t>
      </w:r>
      <w:r>
        <w:t xml:space="preserve"> </w:t>
      </w:r>
      <w:r>
        <w:t xml:space="preserve">tecniche</w:t>
      </w:r>
      <w:r>
        <w:t xml:space="preserve"> </w:t>
      </w:r>
      <w:r>
        <w:t xml:space="preserve">disponibile</w:t>
      </w:r>
      <w:r>
        <w:t xml:space="preserve"> </w:t>
      </w:r>
      <w:r>
        <w:t xml:space="preserve">(MTD)</w:t>
      </w:r>
      <w:r>
        <w:t xml:space="preserve"> </w:t>
      </w:r>
      <w:r>
        <w:t xml:space="preserve">contenute</w:t>
      </w:r>
      <w:r>
        <w:t xml:space="preserve"> </w:t>
      </w:r>
      <w:r>
        <w:t xml:space="preserve">nei</w:t>
      </w:r>
      <w:r>
        <w:t xml:space="preserve"> </w:t>
      </w:r>
      <w:r>
        <w:t xml:space="preserve">BRef.</w:t>
      </w:r>
      <w:r>
        <w:t xml:space="preserve"> </w:t>
      </w:r>
      <w:r>
        <w:t xml:space="preserve">L’autorizzazione</w:t>
      </w:r>
      <w:r>
        <w:t xml:space="preserve"> </w:t>
      </w:r>
      <w:r>
        <w:t xml:space="preserve">è</w:t>
      </w:r>
      <w:r>
        <w:t xml:space="preserve"> </w:t>
      </w:r>
      <w:r>
        <w:t xml:space="preserve">“</w:t>
      </w:r>
      <w:r>
        <w:t xml:space="preserve">integrata</w:t>
      </w:r>
      <w:r>
        <w:t xml:space="preserve">”</w:t>
      </w:r>
      <w:r>
        <w:t xml:space="preserve"> </w:t>
      </w:r>
      <w:r>
        <w:t xml:space="preserve">perché</w:t>
      </w:r>
      <w:r>
        <w:t xml:space="preserve"> </w:t>
      </w:r>
      <w:r>
        <w:t xml:space="preserve">relativa</w:t>
      </w:r>
      <w:r>
        <w:t xml:space="preserve"> </w:t>
      </w:r>
      <w:r>
        <w:t xml:space="preserve">a</w:t>
      </w:r>
      <w:r>
        <w:t xml:space="preserve"> </w:t>
      </w:r>
      <w:r>
        <w:t xml:space="preserve">più</w:t>
      </w:r>
      <w:r>
        <w:t xml:space="preserve"> </w:t>
      </w:r>
      <w:r>
        <w:t xml:space="preserve">aspetti</w:t>
      </w:r>
      <w:r>
        <w:t xml:space="preserve"> </w:t>
      </w:r>
      <w:r>
        <w:t xml:space="preserve">ambientali</w:t>
      </w:r>
      <w:r>
        <w:t xml:space="preserve"> </w:t>
      </w:r>
      <w:r>
        <w:t xml:space="preserve">e</w:t>
      </w:r>
      <w:r>
        <w:t xml:space="preserve"> </w:t>
      </w:r>
      <w:r>
        <w:t xml:space="preserve">alla</w:t>
      </w:r>
      <w:r>
        <w:t xml:space="preserve"> </w:t>
      </w:r>
      <w:r>
        <w:t xml:space="preserve">loro</w:t>
      </w:r>
      <w:r>
        <w:t xml:space="preserve"> </w:t>
      </w:r>
      <w:r>
        <w:t xml:space="preserve">interazione</w:t>
      </w:r>
      <w:r>
        <w:t xml:space="preserve"> </w:t>
      </w:r>
      <w:r>
        <w:t xml:space="preserve">e</w:t>
      </w:r>
      <w:r>
        <w:t xml:space="preserve"> </w:t>
      </w:r>
      <w:r>
        <w:t xml:space="preserve">persegue</w:t>
      </w:r>
      <w:r>
        <w:t xml:space="preserve"> </w:t>
      </w:r>
      <w:r>
        <w:t xml:space="preserve">una</w:t>
      </w:r>
      <w:r>
        <w:t xml:space="preserve"> </w:t>
      </w:r>
      <w:r>
        <w:t xml:space="preserve">prestazione</w:t>
      </w:r>
      <w:r>
        <w:t xml:space="preserve"> </w:t>
      </w:r>
      <w:r>
        <w:t xml:space="preserve">ambientale</w:t>
      </w:r>
      <w:r>
        <w:t xml:space="preserve"> </w:t>
      </w:r>
      <w:r>
        <w:t xml:space="preserve">ottimale.</w:t>
      </w:r>
      <w:r>
        <w:t xml:space="preserve"> </w:t>
      </w:r>
      <w:r>
        <w:t xml:space="preserve">L’AIA</w:t>
      </w:r>
      <w:r>
        <w:t xml:space="preserve"> </w:t>
      </w:r>
      <w:r>
        <w:t xml:space="preserve">è</w:t>
      </w:r>
      <w:r>
        <w:t xml:space="preserve"> </w:t>
      </w:r>
      <w:r>
        <w:t xml:space="preserve">disciplinata</w:t>
      </w:r>
      <w:r>
        <w:t xml:space="preserve"> </w:t>
      </w:r>
      <w:r>
        <w:t xml:space="preserve">dal</w:t>
      </w:r>
      <w:r>
        <w:t xml:space="preserve"> </w:t>
      </w:r>
      <w:r>
        <w:t xml:space="preserve">D.L.</w:t>
      </w:r>
      <w:r>
        <w:t xml:space="preserve"> </w:t>
      </w:r>
      <w:r>
        <w:t xml:space="preserve">152/2006</w:t>
      </w:r>
      <w:r>
        <w:t xml:space="preserve"> </w:t>
      </w:r>
      <w:r>
        <w:t xml:space="preserve">(T.U.</w:t>
      </w:r>
      <w:r>
        <w:t xml:space="preserve"> </w:t>
      </w:r>
      <w:r>
        <w:t xml:space="preserve">ambientale)</w:t>
      </w:r>
      <w:r>
        <w:t xml:space="preserve"> </w:t>
      </w:r>
      <w:r>
        <w:t xml:space="preserve">e</w:t>
      </w:r>
      <w:r>
        <w:t xml:space="preserve"> </w:t>
      </w:r>
      <w:r>
        <w:t xml:space="preserve">il</w:t>
      </w:r>
      <w:r>
        <w:t xml:space="preserve"> </w:t>
      </w:r>
      <w:r>
        <w:t xml:space="preserve">procedimento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rilascio</w:t>
      </w:r>
      <w:r>
        <w:t xml:space="preserve"> </w:t>
      </w:r>
      <w:r>
        <w:t xml:space="preserve">si</w:t>
      </w:r>
      <w:r>
        <w:t xml:space="preserve"> </w:t>
      </w:r>
      <w:r>
        <w:t xml:space="preserve">concentra</w:t>
      </w:r>
      <w:r>
        <w:t xml:space="preserve"> </w:t>
      </w:r>
      <w:r>
        <w:t xml:space="preserve">sull’analisi</w:t>
      </w:r>
      <w:r>
        <w:t xml:space="preserve"> </w:t>
      </w:r>
      <w:r>
        <w:t xml:space="preserve">della</w:t>
      </w:r>
      <w:r>
        <w:t xml:space="preserve"> </w:t>
      </w:r>
      <w:r>
        <w:t xml:space="preserve">documentazione</w:t>
      </w:r>
      <w:r>
        <w:t xml:space="preserve"> </w:t>
      </w:r>
      <w:r>
        <w:t xml:space="preserve">fornita</w:t>
      </w:r>
      <w:r>
        <w:t xml:space="preserve"> </w:t>
      </w:r>
      <w:r>
        <w:t xml:space="preserve">dall’interessato</w:t>
      </w:r>
      <w:r>
        <w:t xml:space="preserve"> </w:t>
      </w:r>
      <w:r>
        <w:t xml:space="preserve">relativa</w:t>
      </w:r>
      <w:r>
        <w:t xml:space="preserve"> </w:t>
      </w:r>
      <w:r>
        <w:t xml:space="preserve">ai</w:t>
      </w:r>
      <w:r>
        <w:t xml:space="preserve"> </w:t>
      </w:r>
      <w:r>
        <w:t xml:space="preserve">numerosi</w:t>
      </w:r>
      <w:r>
        <w:t xml:space="preserve"> </w:t>
      </w:r>
      <w:r>
        <w:t xml:space="preserve">criteri</w:t>
      </w:r>
      <w:r>
        <w:t xml:space="preserve"> </w:t>
      </w:r>
      <w:r>
        <w:t xml:space="preserve">da</w:t>
      </w:r>
      <w:r>
        <w:t xml:space="preserve"> </w:t>
      </w:r>
      <w:r>
        <w:t xml:space="preserve">osservare</w:t>
      </w:r>
      <w:r>
        <w:t xml:space="preserve"> </w:t>
      </w:r>
      <w:r>
        <w:t xml:space="preserve">definiti</w:t>
      </w:r>
      <w:r>
        <w:t xml:space="preserve"> </w:t>
      </w:r>
      <w:r>
        <w:t xml:space="preserve">dal</w:t>
      </w:r>
      <w:r>
        <w:t xml:space="preserve"> </w:t>
      </w:r>
      <w:r>
        <w:t xml:space="preserve">T.U.</w:t>
      </w:r>
      <w:r>
        <w:t xml:space="preserve"> </w:t>
      </w:r>
      <w:r>
        <w:t xml:space="preserve">Il</w:t>
      </w:r>
      <w:r>
        <w:t xml:space="preserve"> </w:t>
      </w:r>
      <w:r>
        <w:t xml:space="preserve">caso</w:t>
      </w:r>
      <w:r>
        <w:t xml:space="preserve"> </w:t>
      </w:r>
      <w:r>
        <w:t xml:space="preserve">studio</w:t>
      </w:r>
      <w:r>
        <w:t xml:space="preserve"> </w:t>
      </w:r>
      <w:r>
        <w:t xml:space="preserve">riguarda</w:t>
      </w:r>
      <w:r>
        <w:t xml:space="preserve"> </w:t>
      </w:r>
      <w:r>
        <w:t xml:space="preserve">la</w:t>
      </w:r>
      <w:r>
        <w:t xml:space="preserve"> </w:t>
      </w:r>
      <w:r>
        <w:t xml:space="preserve">realizzazione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impianto</w:t>
      </w:r>
      <w:r>
        <w:t xml:space="preserve"> </w:t>
      </w:r>
      <w:r>
        <w:t xml:space="preserve">di</w:t>
      </w:r>
      <w:r>
        <w:t xml:space="preserve"> </w:t>
      </w:r>
      <w:r>
        <w:t xml:space="preserve">termovalorizzazione</w:t>
      </w:r>
      <w:r>
        <w:t xml:space="preserve"> </w:t>
      </w:r>
      <w:r>
        <w:t xml:space="preserve">dei</w:t>
      </w:r>
      <w:r>
        <w:t xml:space="preserve"> </w:t>
      </w:r>
      <w:r>
        <w:t xml:space="preserve">rifiuti</w:t>
      </w:r>
      <w:r>
        <w:t xml:space="preserve"> </w:t>
      </w:r>
      <w:r>
        <w:t xml:space="preserve">indifferenziati</w:t>
      </w:r>
      <w:r>
        <w:t xml:space="preserve"> </w:t>
      </w:r>
      <w:r>
        <w:t xml:space="preserve">nel</w:t>
      </w:r>
      <w:r>
        <w:t xml:space="preserve"> </w:t>
      </w:r>
      <w:r>
        <w:t xml:space="preserve">rispetto</w:t>
      </w:r>
      <w:r>
        <w:t xml:space="preserve"> </w:t>
      </w:r>
      <w:r>
        <w:t xml:space="preserve">dei</w:t>
      </w:r>
      <w:r>
        <w:t xml:space="preserve"> </w:t>
      </w:r>
      <w:r>
        <w:t xml:space="preserve">requisiti</w:t>
      </w:r>
      <w:r>
        <w:t xml:space="preserve"> </w:t>
      </w:r>
      <w:r>
        <w:t xml:space="preserve">per</w:t>
      </w:r>
      <w:r>
        <w:t xml:space="preserve"> </w:t>
      </w:r>
      <w:r>
        <w:t xml:space="preserve">ottenere</w:t>
      </w:r>
      <w:r>
        <w:t xml:space="preserve"> </w:t>
      </w:r>
      <w:r>
        <w:t xml:space="preserve">il</w:t>
      </w:r>
      <w:r>
        <w:t xml:space="preserve"> </w:t>
      </w:r>
      <w:r>
        <w:t xml:space="preserve">rilascio</w:t>
      </w:r>
      <w:r>
        <w:t xml:space="preserve"> </w:t>
      </w:r>
      <w:r>
        <w:t xml:space="preserve">dell’AIA.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1" w:name="introduzione"/>
      <w:bookmarkEnd w:id="21"/>
      <w:r>
        <w:t xml:space="preserve">Introduzione</w:t>
      </w:r>
    </w:p>
    <w:p>
      <w:pPr>
        <w:pStyle w:val="FirstParagraph"/>
      </w:pPr>
      <w:r>
        <w:t xml:space="preserve">L’autorizzazione integrata ambientale è una procedura necessaria a</w:t>
      </w:r>
      <w:r>
        <w:t xml:space="preserve"> </w:t>
      </w:r>
      <w:r>
        <w:t xml:space="preserve">valutare la compatibilità ambientale di alcune attività produttive che</w:t>
      </w:r>
      <w:r>
        <w:t xml:space="preserve"> </w:t>
      </w:r>
      <w:r>
        <w:t xml:space="preserve">potrebbero determinare problemi ambientali rilevanti, come le emissioni</w:t>
      </w:r>
      <w:r>
        <w:t xml:space="preserve"> </w:t>
      </w:r>
      <w:r>
        <w:t xml:space="preserve">inquinanti in atmosfera </w:t>
      </w:r>
      <w:r>
        <w:rPr>
          <w:i/>
        </w:rPr>
        <w:t xml:space="preserve">(Fig. 1)</w:t>
      </w:r>
      <w:r>
        <w:t xml:space="preserve">, nell’acqua e nel suolo, oppure</w:t>
      </w:r>
      <w:r>
        <w:t xml:space="preserve"> </w:t>
      </w:r>
      <w:r>
        <w:t xml:space="preserve">in relazione alla gestione dei rifiuti o al consumo delle risorse</w:t>
      </w:r>
      <w:r>
        <w:t xml:space="preserve"> </w:t>
      </w:r>
      <w:r>
        <w:t xml:space="preserve">naturali. (Cagnoli, 2015)</w:t>
      </w:r>
    </w:p>
    <w:p>
      <w:pPr>
        <w:pStyle w:val="FigureWithCaption"/>
      </w:pPr>
      <w:r>
        <w:drawing>
          <wp:inline>
            <wp:extent cx="1639200" cy="1093200"/>
            <wp:effectExtent b="0" l="0" r="0" t="0"/>
            <wp:docPr descr="Emissioni di impianti industriali " title="" id="1" name="Picture"/>
            <a:graphic>
              <a:graphicData uri="http://schemas.openxmlformats.org/drawingml/2006/picture">
                <pic:pic>
                  <pic:nvPicPr>
                    <pic:cNvPr descr="figures/Fig--1/Fig-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09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Emissioni di impianti industriali</w:t>
      </w:r>
      <w:r>
        <w:t xml:space="preserve"> </w:t>
      </w:r>
    </w:p>
    <w:p>
      <w:pPr>
        <w:pStyle w:val="BodyText"/>
      </w:pPr>
      <w:r>
        <w:t xml:space="preserve">È dunque un provvedimento che autorizza l’esercizio di un’installazione</w:t>
      </w:r>
      <w:r>
        <w:t xml:space="preserve"> </w:t>
      </w:r>
      <w:r>
        <w:t xml:space="preserve">a determinate condizioni che garantiscono la conformità ai requisiti</w:t>
      </w:r>
      <w:r>
        <w:t xml:space="preserve"> </w:t>
      </w:r>
      <w:r>
        <w:t xml:space="preserve">IPPC (Integrated Pollution Prevention and Control), ovvero la Direttiva</w:t>
      </w:r>
      <w:r>
        <w:t xml:space="preserve"> </w:t>
      </w:r>
      <w:r>
        <w:t xml:space="preserve">europea 96/61/CE, oggi sostituita dalla direttiva 2010/75/UE sulle</w:t>
      </w:r>
      <w:r>
        <w:t xml:space="preserve"> </w:t>
      </w:r>
      <w:r>
        <w:t xml:space="preserve">emissioni industriali. Tale direttiva è stata recepita in Italia con il</w:t>
      </w:r>
      <w:r>
        <w:t xml:space="preserve"> </w:t>
      </w:r>
      <w:r>
        <w:t xml:space="preserve">D. Lgs. 446/2014 che ha sostituito il D. Lgs.  del 3 aprile 2006, n° 152</w:t>
      </w:r>
      <w:r>
        <w:t xml:space="preserve"> </w:t>
      </w:r>
      <w:r>
        <w:t xml:space="preserve">T.U. dell’Ambiente.  E’ denominata</w:t>
      </w:r>
      <w:r>
        <w:t xml:space="preserve"> </w:t>
      </w:r>
      <w:r>
        <w:t xml:space="preserve">“</w:t>
      </w:r>
      <w:r>
        <w:t xml:space="preserve">integrata</w:t>
      </w:r>
      <w:r>
        <w:t xml:space="preserve">”</w:t>
      </w:r>
      <w:r>
        <w:t xml:space="preserve"> </w:t>
      </w:r>
      <w:r>
        <w:t xml:space="preserve">perché non si focalizza</w:t>
      </w:r>
      <w:r>
        <w:t xml:space="preserve"> </w:t>
      </w:r>
      <w:r>
        <w:t xml:space="preserve">sull’analisi di un aspetto specifico e racchiude quindi diverse</w:t>
      </w:r>
      <w:r>
        <w:t xml:space="preserve"> </w:t>
      </w:r>
      <w:r>
        <w:t xml:space="preserve">valutazioni tecniche, per capire quale impatto può avere un impianto</w:t>
      </w:r>
      <w:r>
        <w:t xml:space="preserve"> </w:t>
      </w:r>
      <w:r>
        <w:t xml:space="preserve">sulle emissioni in aria, acqua e suolo, perseguendo una prestazione</w:t>
      </w:r>
      <w:r>
        <w:t xml:space="preserve"> </w:t>
      </w:r>
      <w:r>
        <w:t xml:space="preserve">ambientale ottimale. (Ensano et al., 2019)</w:t>
      </w:r>
    </w:p>
    <w:p>
      <w:pPr>
        <w:pStyle w:val="BodyText"/>
      </w:pPr>
      <w:r>
        <w:t xml:space="preserve">L’obiettivo è quello di promuovere e perseguire uno sviluppo sostenibile</w:t>
      </w:r>
      <w:r>
        <w:t xml:space="preserve"> </w:t>
      </w:r>
      <w:r>
        <w:t xml:space="preserve">attraverso la determinazione di valori limite di emissione basati sui</w:t>
      </w:r>
      <w:r>
        <w:t xml:space="preserve"> </w:t>
      </w:r>
      <w:r>
        <w:t xml:space="preserve">limiti normativi e sugli standard ambientali conseguibili applicando le</w:t>
      </w:r>
      <w:r>
        <w:t xml:space="preserve"> </w:t>
      </w:r>
      <w:r>
        <w:t xml:space="preserve">BAT ossia Best Available Techniques o anche MTD (Migliori Tecnologie</w:t>
      </w:r>
      <w:r>
        <w:t xml:space="preserve"> </w:t>
      </w:r>
      <w:r>
        <w:t xml:space="preserve">Disponibili). Per BAT si intende tecnologie di processo o di</w:t>
      </w:r>
      <w:r>
        <w:t xml:space="preserve"> </w:t>
      </w:r>
      <w:r>
        <w:t xml:space="preserve">abbattimento degli inquinanti con modalità di gestione e controllo delle</w:t>
      </w:r>
      <w:r>
        <w:t xml:space="preserve"> </w:t>
      </w:r>
      <w:r>
        <w:t xml:space="preserve">stesse.  Esse sono contenute nei BRef (Bat Reference Documents), linee</w:t>
      </w:r>
      <w:r>
        <w:t xml:space="preserve"> </w:t>
      </w:r>
      <w:r>
        <w:t xml:space="preserve">guida per l’individuazione e l’utilizzo delle MTD. I BRef sono redatti</w:t>
      </w:r>
      <w:r>
        <w:t xml:space="preserve"> </w:t>
      </w:r>
      <w:r>
        <w:t xml:space="preserve">dai TWG (Technical Working Group), presenti in ogni Paese dell’UE e</w:t>
      </w:r>
      <w:r>
        <w:t xml:space="preserve"> </w:t>
      </w:r>
      <w:r>
        <w:t xml:space="preserve">coordinati dall’ufficio tecnico dell’IPPC. (Naddeo et al., 2008)</w:t>
      </w:r>
    </w:p>
    <w:p>
      <w:pPr>
        <w:pStyle w:val="BodyText"/>
      </w:pPr>
      <w:r>
        <w:t xml:space="preserve">L’autorizzazione integrata ambientale è necessaria, come stabilito</w:t>
      </w:r>
      <w:r>
        <w:t xml:space="preserve"> </w:t>
      </w:r>
      <w:r>
        <w:t xml:space="preserve">dall’art. 6, co. 13, per le installazioni elencate nell’all. VIII alla</w:t>
      </w:r>
      <w:r>
        <w:t xml:space="preserve"> </w:t>
      </w:r>
      <w:r>
        <w:t xml:space="preserve">Parte Seconda, e le modifiche sostanziali degli impianti di cui alla</w:t>
      </w:r>
      <w:r>
        <w:t xml:space="preserve"> </w:t>
      </w:r>
      <w:r>
        <w:t xml:space="preserve">lettera a) del citato comma. (Zarra et al., 2013)</w:t>
      </w:r>
    </w:p>
    <w:p>
      <w:pPr>
        <w:pStyle w:val="BodyText"/>
      </w:pPr>
      <w:r>
        <w:t xml:space="preserve">A differenza della Valutazione di Impatto Ambientale, che descrive e</w:t>
      </w:r>
      <w:r>
        <w:t xml:space="preserve"> </w:t>
      </w:r>
      <w:r>
        <w:t xml:space="preserve">valuta gli effetti sull’ambiente e sulla salute di progetti pubblici o</w:t>
      </w:r>
      <w:r>
        <w:t xml:space="preserve"> </w:t>
      </w:r>
      <w:r>
        <w:t xml:space="preserve">privati, identificando le relative misure di precauzione, con l’AIA, può</w:t>
      </w:r>
      <w:r>
        <w:t xml:space="preserve"> </w:t>
      </w:r>
      <w:r>
        <w:t xml:space="preserve">essere autorizzato l’esercizio di un’installazione relativa ad attività</w:t>
      </w:r>
      <w:r>
        <w:t xml:space="preserve"> </w:t>
      </w:r>
      <w:r>
        <w:t xml:space="preserve">industriali che rientrano negli allegati VIII e XII. </w:t>
      </w:r>
    </w:p>
    <w:p>
      <w:pPr>
        <w:pStyle w:val="BodyText"/>
      </w:pPr>
      <w:r>
        <w:t xml:space="preserve">Un’azienda può ottenere l’AIA quando le sue caratteristiche trovano una</w:t>
      </w:r>
      <w:r>
        <w:t xml:space="preserve"> </w:t>
      </w:r>
      <w:r>
        <w:t xml:space="preserve">corrispondenza specifica ai requisiti stabiliti dall’all. VIII</w:t>
      </w:r>
      <w:r>
        <w:t xml:space="preserve"> </w:t>
      </w:r>
      <w:r>
        <w:t xml:space="preserve">riguardante gli impianti regionali e provinciali, con competenza della</w:t>
      </w:r>
      <w:r>
        <w:t xml:space="preserve"> </w:t>
      </w:r>
      <w:r>
        <w:t xml:space="preserve">Regione al rilascio dell’autorizzazione e dall’allegato XII per quel che</w:t>
      </w:r>
      <w:r>
        <w:t xml:space="preserve"> </w:t>
      </w:r>
      <w:r>
        <w:t xml:space="preserve">concerne gli impianti di competenza statale, il cui rilascio spetta al</w:t>
      </w:r>
      <w:r>
        <w:t xml:space="preserve"> </w:t>
      </w:r>
      <w:r>
        <w:t xml:space="preserve">Ministero dell’Ambiente e della Tutela del Territorio e del</w:t>
      </w:r>
      <w:r>
        <w:t xml:space="preserve"> </w:t>
      </w:r>
      <w:r>
        <w:t xml:space="preserve">Mare. (Zarra et al., 2013)</w:t>
      </w:r>
    </w:p>
    <w:p>
      <w:pPr>
        <w:pStyle w:val="BodyText"/>
      </w:pPr>
      <w:r>
        <w:t xml:space="preserve">Il procedimento per l’acquisizione dell’AIA inizia con la domanda</w:t>
      </w:r>
      <w:r>
        <w:t xml:space="preserve"> </w:t>
      </w:r>
      <w:r>
        <w:t xml:space="preserve">dell’interessato, che deve fornire indicazioni generali sull’impianto,</w:t>
      </w:r>
      <w:r>
        <w:t xml:space="preserve"> </w:t>
      </w:r>
      <w:r>
        <w:t xml:space="preserve">sulle materie ed energia utilizzate, emissioni e rifiuti prodotti, la</w:t>
      </w:r>
      <w:r>
        <w:t xml:space="preserve"> </w:t>
      </w:r>
      <w:r>
        <w:t xml:space="preserve">produzione o lo scarico di sostanze pericolose ed altre importanti</w:t>
      </w:r>
      <w:r>
        <w:t xml:space="preserve"> </w:t>
      </w:r>
      <w:r>
        <w:t xml:space="preserve">informazioni. L’autorità competente comunica la data di avvio del</w:t>
      </w:r>
      <w:r>
        <w:t xml:space="preserve"> </w:t>
      </w:r>
      <w:r>
        <w:t xml:space="preserve">procedimento, verifica la domanda e la documentazione allegata e divulga</w:t>
      </w:r>
      <w:r>
        <w:t xml:space="preserve"> </w:t>
      </w:r>
      <w:r>
        <w:t xml:space="preserve">sul proprio sito web l’indicazione del nominativo del gestore, della</w:t>
      </w:r>
      <w:r>
        <w:t xml:space="preserve"> </w:t>
      </w:r>
      <w:r>
        <w:t xml:space="preserve">localizzazione dell’impianto e l’ufficio dov’è possibile visionare gli</w:t>
      </w:r>
      <w:r>
        <w:t xml:space="preserve"> </w:t>
      </w:r>
      <w:r>
        <w:t xml:space="preserve">atti. I soggetti interessati possono presentare osservazioni ed è</w:t>
      </w:r>
      <w:r>
        <w:t xml:space="preserve"> </w:t>
      </w:r>
      <w:r>
        <w:t xml:space="preserve">inoltre prevista la convocazione di apposita conferenza decisoria di</w:t>
      </w:r>
      <w:r>
        <w:t xml:space="preserve"> </w:t>
      </w:r>
      <w:r>
        <w:t xml:space="preserve">servizi, dopo la quale, l’autorità competente si pronuncia sulla domanda</w:t>
      </w:r>
      <w:r>
        <w:t xml:space="preserve"> </w:t>
      </w:r>
      <w:r>
        <w:t xml:space="preserve">con un’eventuale richiesta di integrazioni e infine rilascia l’AIA,</w:t>
      </w:r>
      <w:r>
        <w:t xml:space="preserve"> </w:t>
      </w:r>
      <w:r>
        <w:t xml:space="preserve">rendendola pubblica. (Nesticò et al., 2020)</w:t>
      </w:r>
    </w:p>
    <w:p>
      <w:pPr>
        <w:pStyle w:val="BodyText"/>
      </w:pPr>
      <w:r>
        <w:t xml:space="preserve">L’AIA ha validità di 10 anni (D. Lgs. 46/2014) e può estendersi a 12 se</w:t>
      </w:r>
      <w:r>
        <w:t xml:space="preserve"> </w:t>
      </w:r>
      <w:r>
        <w:t xml:space="preserve">l’impianto è certificato secondo la norma UNI EN ISO 14001 e a 16 anni</w:t>
      </w:r>
      <w:r>
        <w:t xml:space="preserve"> </w:t>
      </w:r>
      <w:r>
        <w:t xml:space="preserve">se l’impianto è registrato ai sensi del Regolamento CE n 1221/2009</w:t>
      </w:r>
      <w:r>
        <w:t xml:space="preserve"> </w:t>
      </w:r>
      <w:r>
        <w:t xml:space="preserve">(EMAS). Gli elaborati tecnici comprendono la domanda di AIA, attraverso</w:t>
      </w:r>
      <w:r>
        <w:t xml:space="preserve"> </w:t>
      </w:r>
      <w:r>
        <w:t xml:space="preserve">la quale il gestore dell’impianto IPPC richiede l’AIA, una relazione</w:t>
      </w:r>
      <w:r>
        <w:t xml:space="preserve"> </w:t>
      </w:r>
      <w:r>
        <w:t xml:space="preserve">tecnica composta da una parte descrittiva (relazione) e una parte di</w:t>
      </w:r>
      <w:r>
        <w:t xml:space="preserve"> </w:t>
      </w:r>
      <w:r>
        <w:t xml:space="preserve">elaborati grafici, delle schede di modulistica, un piano di monitoraggio</w:t>
      </w:r>
      <w:r>
        <w:t xml:space="preserve"> </w:t>
      </w:r>
      <w:r>
        <w:t xml:space="preserve">e controllo dell’impianto IPPC e una relazione di riferimento redatta ai</w:t>
      </w:r>
      <w:r>
        <w:t xml:space="preserve"> </w:t>
      </w:r>
      <w:r>
        <w:t xml:space="preserve">sensi del DM 272/2014. (</w:t>
      </w:r>
      <w:r>
        <w:t xml:space="preserve">“</w:t>
      </w:r>
      <w:r>
        <w:t xml:space="preserve">Autorizzazione Integrata Ambientale</w:t>
      </w:r>
      <w:r>
        <w:t xml:space="preserve">”</w:t>
      </w:r>
      <w:r>
        <w:t xml:space="preserve">, 2020)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caso-studio"/>
      <w:bookmarkEnd w:id="23"/>
      <w:r>
        <w:t xml:space="preserve">Caso studio</w:t>
      </w:r>
    </w:p>
    <w:p>
      <w:pPr>
        <w:pStyle w:val="FirstParagraph"/>
      </w:pPr>
      <w:r>
        <w:t xml:space="preserve">Il caso studio analizzato riguarda il progetto per l’ampliamento di un</w:t>
      </w:r>
      <w:r>
        <w:t xml:space="preserve"> </w:t>
      </w:r>
      <w:r>
        <w:t xml:space="preserve">impianto di termovalorizzazione a Rufina, in Toscana. Tra gli obiettivi</w:t>
      </w:r>
      <w:r>
        <w:t xml:space="preserve"> </w:t>
      </w:r>
      <w:r>
        <w:t xml:space="preserve">dell’ampliamento vi è l’incentivazione della riduzione della quantità di</w:t>
      </w:r>
      <w:r>
        <w:t xml:space="preserve"> </w:t>
      </w:r>
      <w:r>
        <w:t xml:space="preserve">rifiuti, il riciclo dei materiali e la promozione del riutilizzo dei</w:t>
      </w:r>
      <w:r>
        <w:t xml:space="preserve"> </w:t>
      </w:r>
      <w:r>
        <w:t xml:space="preserve">prodotti. L’impianto tratterà principalmente i rifiuti urbani che</w:t>
      </w:r>
      <w:r>
        <w:t xml:space="preserve"> </w:t>
      </w:r>
      <w:r>
        <w:t xml:space="preserve">rimangono fuori dalla raccolta differenziata. Il nuovo impianto di</w:t>
      </w:r>
      <w:r>
        <w:t xml:space="preserve"> </w:t>
      </w:r>
      <w:r>
        <w:t xml:space="preserve">termovalorizzazione sarà costituito da un insieme di apparecchiature</w:t>
      </w:r>
      <w:r>
        <w:t xml:space="preserve"> </w:t>
      </w:r>
      <w:r>
        <w:t xml:space="preserve">elettromeccaniche che ottimizzeranno la valorizzazione energetica del</w:t>
      </w:r>
      <w:r>
        <w:t xml:space="preserve"> </w:t>
      </w:r>
      <w:r>
        <w:t xml:space="preserve">rifiuto. (Patton et al., 2018)</w:t>
      </w:r>
    </w:p>
    <w:p>
      <w:pPr>
        <w:pStyle w:val="BodyText"/>
      </w:pPr>
      <w:r>
        <w:t xml:space="preserve">La linea produttiva </w:t>
      </w:r>
      <w:r>
        <w:rPr>
          <w:i/>
        </w:rPr>
        <w:t xml:space="preserve">(Fig. 2)</w:t>
      </w:r>
      <w:r>
        <w:t xml:space="preserve"> </w:t>
      </w:r>
      <w:r>
        <w:t xml:space="preserve">che seguirà l’impianto futuro è</w:t>
      </w:r>
      <w:r>
        <w:t xml:space="preserve"> </w:t>
      </w:r>
      <w:r>
        <w:t xml:space="preserve">articolata nelle seguenti fasi: </w:t>
      </w:r>
    </w:p>
    <w:p>
      <w:pPr>
        <w:numPr>
          <w:numId w:val="1001"/>
          <w:ilvl w:val="0"/>
        </w:numPr>
      </w:pPr>
      <w:r>
        <w:t xml:space="preserve">Ricevimento, stoccaggio e movimentazione rifiuto in ingresso</w:t>
      </w:r>
    </w:p>
    <w:p>
      <w:pPr>
        <w:numPr>
          <w:numId w:val="1001"/>
          <w:ilvl w:val="0"/>
        </w:numPr>
      </w:pPr>
      <w:r>
        <w:t xml:space="preserve">Combustione e recupero termico</w:t>
      </w:r>
    </w:p>
    <w:p>
      <w:pPr>
        <w:numPr>
          <w:numId w:val="1001"/>
          <w:ilvl w:val="0"/>
        </w:numPr>
      </w:pPr>
      <w:r>
        <w:t xml:space="preserve">Recupero energetico</w:t>
      </w:r>
    </w:p>
    <w:p>
      <w:pPr>
        <w:numPr>
          <w:numId w:val="1001"/>
          <w:ilvl w:val="0"/>
        </w:numPr>
      </w:pPr>
      <w:r>
        <w:t xml:space="preserve">Trattamento ed espulsione fumi</w:t>
      </w:r>
    </w:p>
    <w:p>
      <w:pPr>
        <w:pStyle w:val="FigureWithCaption"/>
      </w:pPr>
      <w:r>
        <w:drawing>
          <wp:inline>
            <wp:extent cx="988800" cy="856799"/>
            <wp:effectExtent b="0" l="0" r="0" t="0"/>
            <wp:docPr descr="Schema semplificato dell’impianto (in arancione le uscite) " title="" id="1" name="Picture"/>
            <a:graphic>
              <a:graphicData uri="http://schemas.openxmlformats.org/drawingml/2006/picture">
                <pic:pic>
                  <pic:nvPicPr>
                    <pic:cNvPr descr="figures/Fig2/Fig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00" cy="856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semplificato dell’impianto (in arancione le uscite)</w:t>
      </w:r>
      <w:r>
        <w:t xml:space="preserve"> </w:t>
      </w:r>
    </w:p>
    <w:p>
      <w:pPr>
        <w:pStyle w:val="BodyText"/>
      </w:pPr>
      <w:r>
        <w:t xml:space="preserve">Le future emissioni in atmosfera correlabili all’esercizio del nuovo</w:t>
      </w:r>
      <w:r>
        <w:t xml:space="preserve"> </w:t>
      </w:r>
      <w:r>
        <w:t xml:space="preserve">impianto sono costituite, per la maggior parte, dal continuo flusso di</w:t>
      </w:r>
      <w:r>
        <w:t xml:space="preserve"> </w:t>
      </w:r>
      <w:r>
        <w:t xml:space="preserve">fumi di combustione proveniente dal forno ed espulso attraverso il</w:t>
      </w:r>
      <w:r>
        <w:t xml:space="preserve"> </w:t>
      </w:r>
      <w:r>
        <w:t xml:space="preserve">camino. Il sistema di trattamento dei fumi preleverà gli stessi</w:t>
      </w:r>
      <w:r>
        <w:t xml:space="preserve"> </w:t>
      </w:r>
      <w:r>
        <w:t xml:space="preserve">dall’uscita della caldaia e  li depurerà prima della loro emissione dal</w:t>
      </w:r>
      <w:r>
        <w:t xml:space="preserve"> </w:t>
      </w:r>
      <w:r>
        <w:t xml:space="preserve">camino, attraverso un elettrofiltro per l’abbattimento delle polveri a</w:t>
      </w:r>
      <w:r>
        <w:t xml:space="preserve"> </w:t>
      </w:r>
      <w:r>
        <w:t xml:space="preserve">granulometria maggiore, un filtro a maniche per le polveri a</w:t>
      </w:r>
      <w:r>
        <w:t xml:space="preserve"> </w:t>
      </w:r>
      <w:r>
        <w:t xml:space="preserve">granulometria più fine e bicarbonato di sodio (o calce) per</w:t>
      </w:r>
      <w:r>
        <w:t xml:space="preserve"> </w:t>
      </w:r>
      <w:r>
        <w:t xml:space="preserve">l’abbattimento dei gas acidi e microinquinanti. L’impatto ambientale</w:t>
      </w:r>
      <w:r>
        <w:t xml:space="preserve"> </w:t>
      </w:r>
      <w:r>
        <w:t xml:space="preserve">della combustione di rifiuti è costituito principalmente dall’emissione</w:t>
      </w:r>
      <w:r>
        <w:t xml:space="preserve"> </w:t>
      </w:r>
      <w:r>
        <w:t xml:space="preserve">di polveri e di sostanze inquinanti nell’atmosfera in fase gassosa o</w:t>
      </w:r>
      <w:r>
        <w:t xml:space="preserve"> </w:t>
      </w:r>
      <w:r>
        <w:t xml:space="preserve">sotto forma di vapore. La rimozione delle polveri viene effettuata per</w:t>
      </w:r>
      <w:r>
        <w:t xml:space="preserve"> </w:t>
      </w:r>
      <w:r>
        <w:t xml:space="preserve">via meccanica per mezzo di apparecchiature  dedicate allo</w:t>
      </w:r>
      <w:r>
        <w:t xml:space="preserve"> </w:t>
      </w:r>
      <w:r>
        <w:t xml:space="preserve">scopo. (Naddeo &amp; Korshin, 2021)</w:t>
      </w:r>
    </w:p>
    <w:p>
      <w:pPr>
        <w:pStyle w:val="BodyText"/>
      </w:pPr>
      <w:r>
        <w:t xml:space="preserve">All’interno dell’impianto sono previsti diversi sistemi per lo</w:t>
      </w:r>
      <w:r>
        <w:t xml:space="preserve"> </w:t>
      </w:r>
      <w:r>
        <w:t xml:space="preserve">stoccaggio di rifiuti in ingresso, materie prime ausiliarie del</w:t>
      </w:r>
      <w:r>
        <w:t xml:space="preserve"> </w:t>
      </w:r>
      <w:r>
        <w:t xml:space="preserve">processo, rifiuti di prodotti dal processo, acque di processo e di</w:t>
      </w:r>
      <w:r>
        <w:t xml:space="preserve"> </w:t>
      </w:r>
      <w:r>
        <w:t xml:space="preserve">lavaggio. I rifiuti in ingresso, a seconda della loro categoria, </w:t>
      </w:r>
      <w:r>
        <w:t xml:space="preserve"> </w:t>
      </w:r>
      <w:r>
        <w:t xml:space="preserve">verranno stoccati all’interno di una specifica fossa parzialmente</w:t>
      </w:r>
      <w:r>
        <w:t xml:space="preserve"> </w:t>
      </w:r>
      <w:r>
        <w:t xml:space="preserve">interrata o in un apposito locale. (Naddeo &amp; Korshin, 2021)</w:t>
      </w:r>
    </w:p>
    <w:p>
      <w:pPr>
        <w:pStyle w:val="BodyText"/>
      </w:pPr>
      <w:r>
        <w:t xml:space="preserve">Le materie prime ausiliarie del processo vengono stoccate in appositi</w:t>
      </w:r>
      <w:r>
        <w:t xml:space="preserve"> </w:t>
      </w:r>
      <w:r>
        <w:t xml:space="preserve">sili o serbatoi chiusi fuori terra. I rifiuti derivanti dal processo di</w:t>
      </w:r>
      <w:r>
        <w:t xml:space="preserve"> </w:t>
      </w:r>
      <w:r>
        <w:t xml:space="preserve">termovalorizzazione (scorie, ceneri e residui) saranno stoccati</w:t>
      </w:r>
      <w:r>
        <w:t xml:space="preserve"> </w:t>
      </w:r>
      <w:r>
        <w:t xml:space="preserve">all’interno di una fossa impermeabilizzata in cui verranno</w:t>
      </w:r>
      <w:r>
        <w:t xml:space="preserve"> </w:t>
      </w:r>
      <w:r>
        <w:t xml:space="preserve">“</w:t>
      </w:r>
      <w:r>
        <w:t xml:space="preserve">spente</w:t>
      </w:r>
      <w:r>
        <w:t xml:space="preserve">”</w:t>
      </w:r>
      <w:r>
        <w:t xml:space="preserve"> </w:t>
      </w:r>
      <w:r>
        <w:t xml:space="preserve">con acqua. Infine, le acque di processo verranno prima neutralizzate in</w:t>
      </w:r>
      <w:r>
        <w:t xml:space="preserve"> </w:t>
      </w:r>
      <w:r>
        <w:t xml:space="preserve">un serbatoio alimentato con soda e acido cloridrico e successivamente</w:t>
      </w:r>
      <w:r>
        <w:t xml:space="preserve"> </w:t>
      </w:r>
      <w:r>
        <w:t xml:space="preserve">riciclate verso l’unità di spegnimento delle scorie, che provvederà alla</w:t>
      </w:r>
      <w:r>
        <w:t xml:space="preserve"> </w:t>
      </w:r>
      <w:r>
        <w:t xml:space="preserve">loro estinzione mediante evaporazione, per evitare l’impatto dello</w:t>
      </w:r>
      <w:r>
        <w:t xml:space="preserve"> </w:t>
      </w:r>
      <w:r>
        <w:t xml:space="preserve">scarico in fognatura. (Naddeo et al., 2013)</w:t>
      </w:r>
    </w:p>
    <w:p>
      <w:pPr>
        <w:pStyle w:val="BodyText"/>
      </w:pPr>
      <w:r>
        <w:t xml:space="preserve">Nella progettazione sono stati rispettati i seguenti criteri:</w:t>
      </w:r>
    </w:p>
    <w:p>
      <w:pPr>
        <w:numPr>
          <w:numId w:val="1002"/>
          <w:ilvl w:val="0"/>
        </w:numPr>
      </w:pPr>
      <w:r>
        <w:t xml:space="preserve">Prevedere una fossa di ricevimento dei rifiuti per garantire la</w:t>
      </w:r>
      <w:r>
        <w:t xml:space="preserve"> </w:t>
      </w:r>
      <w:r>
        <w:t xml:space="preserve">compatibilità ambientale.</w:t>
      </w:r>
    </w:p>
    <w:p>
      <w:pPr>
        <w:numPr>
          <w:numId w:val="1002"/>
          <w:ilvl w:val="0"/>
        </w:numPr>
      </w:pPr>
      <w:r>
        <w:t xml:space="preserve">Adottare un sistema che assicuri la massima affidabilità e continuità</w:t>
      </w:r>
      <w:r>
        <w:t xml:space="preserve"> </w:t>
      </w:r>
      <w:r>
        <w:t xml:space="preserve">dell’esercizio, relativo al processo termico di conversione del</w:t>
      </w:r>
      <w:r>
        <w:t xml:space="preserve"> </w:t>
      </w:r>
      <w:r>
        <w:t xml:space="preserve">rifiuto.</w:t>
      </w:r>
    </w:p>
    <w:p>
      <w:pPr>
        <w:numPr>
          <w:numId w:val="1002"/>
          <w:ilvl w:val="0"/>
        </w:numPr>
      </w:pPr>
      <w:r>
        <w:t xml:space="preserve">Limitare la concentrazione di inquinanti nelle emissioni gassose al</w:t>
      </w:r>
      <w:r>
        <w:t xml:space="preserve"> </w:t>
      </w:r>
      <w:r>
        <w:t xml:space="preserve">camino rispettando le norme.</w:t>
      </w:r>
    </w:p>
    <w:p>
      <w:pPr>
        <w:numPr>
          <w:numId w:val="1002"/>
          <w:ilvl w:val="0"/>
        </w:numPr>
      </w:pPr>
      <w:r>
        <w:t xml:space="preserve">Prevedere la depurazione dei fumi evitando effluenti liquidi.</w:t>
      </w:r>
    </w:p>
    <w:p>
      <w:pPr>
        <w:numPr>
          <w:numId w:val="1002"/>
          <w:ilvl w:val="0"/>
        </w:numPr>
      </w:pPr>
      <w:r>
        <w:t xml:space="preserve">Immagazzinare tutte la acque di lavaggio delle aree di lavorazione</w:t>
      </w:r>
      <w:r>
        <w:t xml:space="preserve"> </w:t>
      </w:r>
      <w:r>
        <w:t xml:space="preserve">potenzialmente inquinate prima del loro riciclaggio.</w:t>
      </w:r>
    </w:p>
    <w:p>
      <w:pPr>
        <w:numPr>
          <w:numId w:val="1002"/>
          <w:ilvl w:val="0"/>
        </w:numPr>
      </w:pPr>
      <w:r>
        <w:t xml:space="preserve">Utilizzare discariche controllate per lo stoccaggio di scorie, ceneri</w:t>
      </w:r>
      <w:r>
        <w:t xml:space="preserve"> </w:t>
      </w:r>
      <w:r>
        <w:t xml:space="preserve">e residui.</w:t>
      </w:r>
    </w:p>
    <w:p>
      <w:pPr>
        <w:pStyle w:val="FirstParagraph"/>
      </w:pPr>
      <w:r>
        <w:t xml:space="preserve">Per l’analisi  della coerenza delle soluzione progettuali prescelte alle</w:t>
      </w:r>
      <w:r>
        <w:t xml:space="preserve"> </w:t>
      </w:r>
      <w:r>
        <w:t xml:space="preserve">Migliori Tecniche Disponibili (MTD) si è fatto riferimento alle Best</w:t>
      </w:r>
      <w:r>
        <w:t xml:space="preserve"> </w:t>
      </w:r>
      <w:r>
        <w:t xml:space="preserve">Avaiable Techniques for Waste Incineration e allo Schema di rapporto</w:t>
      </w:r>
      <w:r>
        <w:t xml:space="preserve"> </w:t>
      </w:r>
      <w:r>
        <w:t xml:space="preserve">finale relative alle</w:t>
      </w:r>
      <w:r>
        <w:t xml:space="preserve"> </w:t>
      </w:r>
      <w:r>
        <w:t xml:space="preserve">“</w:t>
      </w:r>
      <w:r>
        <w:t xml:space="preserve">Linee guida per l’individuazione e</w:t>
      </w:r>
      <w:r>
        <w:t xml:space="preserve"> </w:t>
      </w:r>
      <w:r>
        <w:t xml:space="preserve">l’utilizzazione delle MTD disponibili per gli impianti di incenerimento</w:t>
      </w:r>
      <w:r>
        <w:t xml:space="preserve"> </w:t>
      </w:r>
      <w:r>
        <w:t xml:space="preserve">dei rifiuti</w:t>
      </w:r>
      <w:r>
        <w:t xml:space="preserve">”</w:t>
      </w:r>
      <w:r>
        <w:t xml:space="preserve">. (</w:t>
      </w:r>
      <w:r>
        <w:t xml:space="preserve">“</w:t>
      </w:r>
      <w:r>
        <w:t xml:space="preserve">Water and wastewater disinfection by ultrasound irradiation - a critical review</w:t>
      </w:r>
      <w:r>
        <w:t xml:space="preserve">”</w:t>
      </w:r>
      <w:r>
        <w:t xml:space="preserve">, 2014)</w:t>
      </w:r>
    </w:p>
    <w:p>
      <w:pPr>
        <w:pStyle w:val="BodyText"/>
      </w:pPr>
      <w:r>
        <w:t xml:space="preserve">L’attività del nuovo impianto, dunque, con gli accorgimenti tecnici e</w:t>
      </w:r>
      <w:r>
        <w:t xml:space="preserve"> </w:t>
      </w:r>
      <w:r>
        <w:t xml:space="preserve">progettuali apportati,  comporterà una minimizzazione del carico</w:t>
      </w:r>
      <w:r>
        <w:t xml:space="preserve"> </w:t>
      </w:r>
      <w:r>
        <w:t xml:space="preserve">ambientale, monitorandone costantemente l’andamento. (Scannapieco et al., 2014)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5" w:name="conclusioni"/>
      <w:bookmarkEnd w:id="25"/>
      <w:r>
        <w:t xml:space="preserve">Conclusioni</w:t>
      </w:r>
    </w:p>
    <w:p>
      <w:pPr>
        <w:pStyle w:val="FirstParagraph"/>
      </w:pPr>
      <w:r>
        <w:t xml:space="preserve">Sulla base di quanto riportato, il futuro impianto è coerente con le</w:t>
      </w:r>
      <w:r>
        <w:t xml:space="preserve"> </w:t>
      </w:r>
      <w:r>
        <w:t xml:space="preserve">indicazioni fornite e le soluzioni progettuali individuate garantiscono</w:t>
      </w:r>
      <w:r>
        <w:t xml:space="preserve"> </w:t>
      </w:r>
      <w:r>
        <w:t xml:space="preserve">modalità di gestione e di realizzazione nel totale rispetto delle BAT.</w:t>
      </w:r>
      <w:r>
        <w:t xml:space="preserve"> </w:t>
      </w:r>
      <w:r>
        <w:t xml:space="preserve">In questo caso, l’AIA è risultata fondamentale per comprendere i valori</w:t>
      </w:r>
      <w:r>
        <w:t xml:space="preserve"> </w:t>
      </w:r>
      <w:r>
        <w:t xml:space="preserve">di emissione dell’impianto, mettendo in luce le precauzioni da adottare</w:t>
      </w:r>
      <w:r>
        <w:t xml:space="preserve"> </w:t>
      </w:r>
      <w:r>
        <w:t xml:space="preserve">e i migliori sistemi per ridurre l’impatto sull’ambiente. Il sistema di</w:t>
      </w:r>
      <w:r>
        <w:t xml:space="preserve"> </w:t>
      </w:r>
      <w:r>
        <w:t xml:space="preserve">trattamento dei fumi nell’impianto è in grado di limitare le emissioni a</w:t>
      </w:r>
      <w:r>
        <w:t xml:space="preserve"> </w:t>
      </w:r>
      <w:r>
        <w:t xml:space="preserve">valori inferiori ai limiti di Legge. Infine, la configurazione</w:t>
      </w:r>
      <w:r>
        <w:t xml:space="preserve"> </w:t>
      </w:r>
      <w:r>
        <w:t xml:space="preserve">individuata per il futuro impianto garantirà un adeguato isolamento dei</w:t>
      </w:r>
      <w:r>
        <w:t xml:space="preserve"> </w:t>
      </w:r>
      <w:r>
        <w:t xml:space="preserve">rifiuti stoccati.</w:t>
      </w:r>
    </w:p>
    <w:p>
      <w:pPr>
        <w:pStyle w:val="Heading1"/>
      </w:pPr>
      <w:bookmarkStart w:id="26" w:name="section"/>
      <w:bookmarkEnd w:id="26"/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. (2015).</w:t>
      </w:r>
      <w:r>
        <w:t xml:space="preserve"> </w:t>
      </w:r>
      <w:r>
        <w:rPr>
          <w:i/>
        </w:rPr>
        <w:t xml:space="preserve">Dario Flaccovio Editore</w:t>
      </w:r>
      <w:r>
        <w:t xml:space="preserve">.</w:t>
      </w:r>
    </w:p>
    <w:p>
      <w:pPr>
        <w:pStyle w:val="BodyText"/>
      </w:pPr>
      <w:r>
        <w:t xml:space="preserve">Applicability of the electrocoagulation process in treating real municipal wastewater containing pharmaceutical active compounds</w:t>
      </w:r>
      <w:r>
        <w:t xml:space="preserve">. (2019).</w:t>
      </w:r>
      <w:r>
        <w:t xml:space="preserve"> </w:t>
      </w:r>
      <w:r>
        <w:rPr>
          <w:i/>
        </w:rPr>
        <w:t xml:space="preserve">Journal of Hazardous Materials</w:t>
      </w:r>
      <w:r>
        <w:t xml:space="preserve">,</w:t>
      </w:r>
      <w:r>
        <w:t xml:space="preserve"> </w:t>
      </w:r>
      <w:r>
        <w:rPr>
          <w:i/>
        </w:rPr>
        <w:t xml:space="preserve">361</w:t>
      </w:r>
      <w:r>
        <w:t xml:space="preserve">, 367–373.</w:t>
      </w:r>
      <w:r>
        <w:t xml:space="preserve"> </w:t>
      </w:r>
      <w:hyperlink r:id="rId28">
        <w:r>
          <w:rPr>
            <w:rStyle w:val="Hyperlink"/>
          </w:rPr>
          <w:t xml:space="preserve">https://doi.org/10.1016/j.jhazmat.2018.07.093</w:t>
        </w:r>
      </w:hyperlink>
    </w:p>
    <w:p>
      <w:pPr>
        <w:pStyle w:val="BodyText"/>
      </w:pPr>
      <w:r>
        <w:t xml:space="preserve">A comparative approach to the variation of natural elements in Italian bottled waters according to the national and international standard limits</w:t>
      </w:r>
      <w:r>
        <w:t xml:space="preserve">. (2008).</w:t>
      </w:r>
      <w:r>
        <w:t xml:space="preserve"> </w:t>
      </w:r>
      <w:r>
        <w:rPr>
          <w:i/>
        </w:rPr>
        <w:t xml:space="preserve">Journal of Food Composition and Analysis</w:t>
      </w:r>
      <w:r>
        <w:t xml:space="preserve">,</w:t>
      </w:r>
      <w:r>
        <w:t xml:space="preserve"> </w:t>
      </w:r>
      <w:r>
        <w:rPr>
          <w:i/>
        </w:rPr>
        <w:t xml:space="preserve">21</w:t>
      </w:r>
      <w:r>
        <w:t xml:space="preserve">(6), 505–514.</w:t>
      </w:r>
      <w:r>
        <w:t xml:space="preserve"> </w:t>
      </w:r>
      <w:hyperlink r:id="rId29">
        <w:r>
          <w:rPr>
            <w:rStyle w:val="Hyperlink"/>
          </w:rPr>
          <w:t xml:space="preserve">https://doi.org/10.1016/j.jfca.2008.02.010</w:t>
        </w:r>
      </w:hyperlink>
    </w:p>
    <w:p>
      <w:pPr>
        <w:pStyle w:val="BodyText"/>
      </w:pPr>
      <w:r>
        <w:t xml:space="preserve">A novel tool for estimating the odour emissions of composting plants in air pollution management</w:t>
      </w:r>
      <w:r>
        <w:t xml:space="preserve">. (2013).</w:t>
      </w:r>
      <w:r>
        <w:t xml:space="preserve"> </w:t>
      </w:r>
      <w:r>
        <w:rPr>
          <w:i/>
        </w:rPr>
        <w:t xml:space="preserve">Issue 4</w:t>
      </w:r>
      <w:r>
        <w:t xml:space="preserve">,</w:t>
      </w:r>
      <w:r>
        <w:t xml:space="preserve"> </w:t>
      </w:r>
      <w:r>
        <w:rPr>
          <w:i/>
        </w:rPr>
        <w:t xml:space="preserve">11</w:t>
      </w:r>
      <w:r>
        <w:t xml:space="preserve">(4), 477–486.</w:t>
      </w:r>
      <w:r>
        <w:t xml:space="preserve"> </w:t>
      </w:r>
      <w:hyperlink r:id="rId30">
        <w:r>
          <w:rPr>
            <w:rStyle w:val="Hyperlink"/>
          </w:rPr>
          <w:t xml:space="preserve">https://doi.org/10.30955/gnj.000484</w:t>
        </w:r>
      </w:hyperlink>
    </w:p>
    <w:p>
      <w:pPr>
        <w:pStyle w:val="BodyText"/>
      </w:pPr>
      <w:r>
        <w:t xml:space="preserve">Sustainability of urban regeneration projects: Novel selection model based on analytic network process and zero-one goal programming</w:t>
      </w:r>
      <w:r>
        <w:t xml:space="preserve">. (2020).</w:t>
      </w:r>
      <w:r>
        <w:t xml:space="preserve"> </w:t>
      </w:r>
      <w:r>
        <w:rPr>
          <w:i/>
        </w:rPr>
        <w:t xml:space="preserve">Land Use Policy</w:t>
      </w:r>
      <w:r>
        <w:t xml:space="preserve">,</w:t>
      </w:r>
      <w:r>
        <w:t xml:space="preserve"> </w:t>
      </w:r>
      <w:r>
        <w:rPr>
          <w:i/>
        </w:rPr>
        <w:t xml:space="preserve">99</w:t>
      </w:r>
      <w:r>
        <w:t xml:space="preserve">, 104831.</w:t>
      </w:r>
      <w:r>
        <w:t xml:space="preserve"> </w:t>
      </w:r>
      <w:hyperlink r:id="rId31">
        <w:r>
          <w:rPr>
            <w:rStyle w:val="Hyperlink"/>
          </w:rPr>
          <w:t xml:space="preserve">https://doi.org/10.1016/j.landusepol.2020.104831</w:t>
        </w:r>
      </w:hyperlink>
    </w:p>
    <w:p>
      <w:pPr>
        <w:pStyle w:val="BodyText"/>
      </w:pPr>
      <w:r>
        <w:t xml:space="preserve">(2020).</w:t>
      </w:r>
      <w:r>
        <w:t xml:space="preserve"> </w:t>
      </w:r>
      <w:r>
        <w:rPr>
          <w:i/>
        </w:rPr>
        <w:t xml:space="preserve">Altalex</w:t>
      </w:r>
      <w:r>
        <w:t xml:space="preserve">.</w:t>
      </w:r>
    </w:p>
    <w:p>
      <w:pPr>
        <w:pStyle w:val="BodyText"/>
      </w:pPr>
      <w:r>
        <w:t xml:space="preserve">Photolysis of Mono- and Dichloramines in</w:t>
      </w:r>
      <w:r>
        <w:t xml:space="preserve"> </w:t>
      </w:r>
      <w:r>
        <w:t xml:space="preserve">UV</w:t>
      </w:r>
      <w:r>
        <w:t xml:space="preserve">/Hydrogen Peroxide: Effects on 1,4-Dioxane Removal and Relevance in Water Reuse</w:t>
      </w:r>
      <w:r>
        <w:t xml:space="preserve">. (2018).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Amp</w:t>
      </w:r>
      <w:r>
        <w:rPr>
          <w:i/>
        </w:rPr>
        <w:t xml:space="preserve">$\Mathsemicolon$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.</w:t>
      </w:r>
      <w:r>
        <w:t xml:space="preserve"> </w:t>
      </w:r>
      <w:hyperlink r:id="rId32">
        <w:r>
          <w:rPr>
            <w:rStyle w:val="Hyperlink"/>
          </w:rPr>
          <w:t xml:space="preserve">https://doi.org/10.1021/acs.est.8b01023</w:t>
        </w:r>
      </w:hyperlink>
    </w:p>
    <w:p>
      <w:pPr>
        <w:pStyle w:val="BodyText"/>
      </w:pPr>
      <w:r>
        <w:t xml:space="preserve">Water energy and waste: The great European deal for the environment</w:t>
      </w:r>
      <w:r>
        <w:t xml:space="preserve">. (2021).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,</w:t>
      </w:r>
      <w:r>
        <w:t xml:space="preserve"> </w:t>
      </w:r>
      <w:r>
        <w:rPr>
          <w:i/>
        </w:rPr>
        <w:t xml:space="preserve">764</w:t>
      </w:r>
      <w:r>
        <w:t xml:space="preserve">, 142911.</w:t>
      </w:r>
      <w:r>
        <w:t xml:space="preserve"> </w:t>
      </w:r>
      <w:hyperlink r:id="rId33">
        <w:r>
          <w:rPr>
            <w:rStyle w:val="Hyperlink"/>
          </w:rPr>
          <w:t xml:space="preserve">https://doi.org/10.1016/j.scitotenv.2020.142911</w:t>
        </w:r>
      </w:hyperlink>
    </w:p>
    <w:p>
      <w:pPr>
        <w:pStyle w:val="BodyText"/>
      </w:pPr>
      <w:r>
        <w:t xml:space="preserve">Dynamic and embedded evaluation procedure for strategic environmental assessment</w:t>
      </w:r>
      <w:r>
        <w:t xml:space="preserve">. (2013).</w:t>
      </w:r>
      <w:r>
        <w:t xml:space="preserve"> </w:t>
      </w:r>
      <w:r>
        <w:rPr>
          <w:i/>
        </w:rPr>
        <w:t xml:space="preserve">Land Use Policy</w:t>
      </w:r>
      <w:r>
        <w:t xml:space="preserve">,</w:t>
      </w:r>
      <w:r>
        <w:t xml:space="preserve"> </w:t>
      </w:r>
      <w:r>
        <w:rPr>
          <w:i/>
        </w:rPr>
        <w:t xml:space="preserve">31</w:t>
      </w:r>
      <w:r>
        <w:t xml:space="preserve">, 605–612.</w:t>
      </w:r>
      <w:r>
        <w:t xml:space="preserve"> </w:t>
      </w:r>
      <w:hyperlink r:id="rId34">
        <w:r>
          <w:rPr>
            <w:rStyle w:val="Hyperlink"/>
          </w:rPr>
          <w:t xml:space="preserve">https://doi.org/10.1016/j.landusepol.2012.09.007</w:t>
        </w:r>
      </w:hyperlink>
    </w:p>
    <w:p>
      <w:pPr>
        <w:pStyle w:val="BodyText"/>
      </w:pPr>
      <w:r>
        <w:t xml:space="preserve">(2014).</w:t>
      </w:r>
      <w:r>
        <w:t xml:space="preserve"> </w:t>
      </w:r>
      <w:r>
        <w:rPr>
          <w:i/>
        </w:rPr>
        <w:t xml:space="preserve">Issue 3</w:t>
      </w:r>
      <w:r>
        <w:t xml:space="preserve">,</w:t>
      </w:r>
      <w:r>
        <w:t xml:space="preserve"> </w:t>
      </w:r>
      <w:r>
        <w:rPr>
          <w:i/>
        </w:rPr>
        <w:t xml:space="preserve">16</w:t>
      </w:r>
      <w:r>
        <w:t xml:space="preserve">(3), 561–577.</w:t>
      </w:r>
      <w:r>
        <w:t xml:space="preserve"> </w:t>
      </w:r>
      <w:hyperlink r:id="rId35">
        <w:r>
          <w:rPr>
            <w:rStyle w:val="Hyperlink"/>
          </w:rPr>
          <w:t xml:space="preserve">https://doi.org/10.30955/gnj.001350</w:t>
        </w:r>
      </w:hyperlink>
    </w:p>
    <w:p>
      <w:pPr>
        <w:pStyle w:val="BodyText"/>
      </w:pPr>
      <w:r>
        <w:t xml:space="preserve">Sustainable power plants: A support tool for the analysis of alternatives</w:t>
      </w:r>
      <w:r>
        <w:t xml:space="preserve">. (2014).</w:t>
      </w:r>
      <w:r>
        <w:t xml:space="preserve"> </w:t>
      </w:r>
      <w:r>
        <w:rPr>
          <w:i/>
        </w:rPr>
        <w:t xml:space="preserve">Land Use Policy</w:t>
      </w:r>
      <w:r>
        <w:t xml:space="preserve">,</w:t>
      </w:r>
      <w:r>
        <w:t xml:space="preserve"> </w:t>
      </w:r>
      <w:r>
        <w:rPr>
          <w:i/>
        </w:rPr>
        <w:t xml:space="preserve">36</w:t>
      </w:r>
      <w:r>
        <w:t xml:space="preserve">, 478–484.</w:t>
      </w:r>
      <w:r>
        <w:t xml:space="preserve"> </w:t>
      </w:r>
      <w:hyperlink r:id="rId36">
        <w:r>
          <w:rPr>
            <w:rStyle w:val="Hyperlink"/>
          </w:rPr>
          <w:t xml:space="preserve">https://doi.org/10.1016/j.landusepol.2013.09.008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3542f019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9ce5aac1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29838d57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hyperlink" Id="rId29" Target="https://doi.org/10.1016/j.jfca.2008.02.010" TargetMode="External" /><Relationship Type="http://schemas.openxmlformats.org/officeDocument/2006/relationships/hyperlink" Id="rId28" Target="https://doi.org/10.1016/j.jhazmat.2018.07.093" TargetMode="External" /><Relationship Type="http://schemas.openxmlformats.org/officeDocument/2006/relationships/hyperlink" Id="rId34" Target="https://doi.org/10.1016/j.landusepol.2012.09.007" TargetMode="External" /><Relationship Type="http://schemas.openxmlformats.org/officeDocument/2006/relationships/hyperlink" Id="rId36" Target="https://doi.org/10.1016/j.landusepol.2013.09.008" TargetMode="External" /><Relationship Type="http://schemas.openxmlformats.org/officeDocument/2006/relationships/hyperlink" Id="rId31" Target="https://doi.org/10.1016/j.landusepol.2020.104831" TargetMode="External" /><Relationship Type="http://schemas.openxmlformats.org/officeDocument/2006/relationships/hyperlink" Id="rId33" Target="https://doi.org/10.1016/j.scitotenv.2020.142911" TargetMode="External" /><Relationship Type="http://schemas.openxmlformats.org/officeDocument/2006/relationships/hyperlink" Id="rId32" Target="https://doi.org/10.1021/acs.est.8b01023" TargetMode="External" /><Relationship Type="http://schemas.openxmlformats.org/officeDocument/2006/relationships/hyperlink" Id="rId30" Target="https://doi.org/10.30955/gnj.000484" TargetMode="External" /><Relationship Type="http://schemas.openxmlformats.org/officeDocument/2006/relationships/hyperlink" Id="rId35" Target="https://doi.org/10.30955/gnj.001350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9" Target="https://doi.org/10.1016/j.jfca.2008.02.010" TargetMode="External" /><Relationship Type="http://schemas.openxmlformats.org/officeDocument/2006/relationships/hyperlink" Id="rId28" Target="https://doi.org/10.1016/j.jhazmat.2018.07.093" TargetMode="External" /><Relationship Type="http://schemas.openxmlformats.org/officeDocument/2006/relationships/hyperlink" Id="rId34" Target="https://doi.org/10.1016/j.landusepol.2012.09.007" TargetMode="External" /><Relationship Type="http://schemas.openxmlformats.org/officeDocument/2006/relationships/hyperlink" Id="rId36" Target="https://doi.org/10.1016/j.landusepol.2013.09.008" TargetMode="External" /><Relationship Type="http://schemas.openxmlformats.org/officeDocument/2006/relationships/hyperlink" Id="rId31" Target="https://doi.org/10.1016/j.landusepol.2020.104831" TargetMode="External" /><Relationship Type="http://schemas.openxmlformats.org/officeDocument/2006/relationships/hyperlink" Id="rId33" Target="https://doi.org/10.1016/j.scitotenv.2020.142911" TargetMode="External" /><Relationship Type="http://schemas.openxmlformats.org/officeDocument/2006/relationships/hyperlink" Id="rId32" Target="https://doi.org/10.1021/acs.est.8b01023" TargetMode="External" /><Relationship Type="http://schemas.openxmlformats.org/officeDocument/2006/relationships/hyperlink" Id="rId30" Target="https://doi.org/10.30955/gnj.000484" TargetMode="External" /><Relationship Type="http://schemas.openxmlformats.org/officeDocument/2006/relationships/hyperlink" Id="rId35" Target="https://doi.org/10.30955/gnj.00135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L’autorizzazione integrata ambientale (AIA)</dc:title>
  <dc:creator>Alessia Amich; Francesca Rocco</dc:creator>
  <dcterms:created xsi:type="dcterms:W3CDTF">2022-08-16T11:00:07Z</dcterms:created>
  <dcterms:modified xsi:type="dcterms:W3CDTF">2022-08-16T11:00:07Z</dcterms:modified>
</cp:coreProperties>
</file>